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b w:val="0"/>
          <w:i w:val="0"/>
        </w:rPr>
        <w:t>TEACHER KEY</w:t>
      </w:r>
    </w:p>
    <w:p>
      <w:pPr>
        <w:pStyle w:val="Title"/>
      </w:pPr>
      <w:r>
        <w:rPr>
          <w:b w:val="0"/>
          <w:i w:val="0"/>
        </w:rPr>
        <w:t>Who Bears a Per-Unit Tax?</w:t>
      </w:r>
    </w:p>
    <w:p>
      <w:pPr>
        <w:pStyle w:val="Heading2"/>
      </w:pPr>
      <w:r>
        <w:rPr>
          <w:b w:val="0"/>
          <w:i w:val="0"/>
        </w:rPr>
        <w:t>Teacher Answer Key</w:t>
      </w:r>
    </w:p>
    <w:p>
      <w:pPr/>
      <w:r>
        <w:rPr>
          <w:b/>
          <w:i w:val="0"/>
        </w:rPr>
        <w:t>TEACHER KEY - DO NOT DISTRIBUTE AS THE STUDENT HANDOUT</w:t>
      </w:r>
    </w:p>
    <w:p>
      <w:pPr/>
      <w:r>
        <w:rPr>
          <w:b w:val="0"/>
          <w:i w:val="0"/>
        </w:rPr>
        <w:t>AP Microeconomics | 40-minute lesson | New original free-sample lesson candidate | Private review only</w:t>
      </w:r>
    </w:p>
    <w:p>
      <w:pPr/>
      <w:r>
        <w:rPr>
          <w:b w:val="0"/>
          <w:i w:val="0"/>
        </w:rPr>
        <w:t>Teacher: ____________________ Date: ____________________</w:t>
      </w:r>
    </w:p>
    <w:p>
      <w:pPr/>
      <w:r>
        <w:rPr>
          <w:b w:val="0"/>
          <w:i w:val="0"/>
        </w:rPr>
        <w:t>This is an original companion lesson, not an excerpt from a paid product. All bottle-market data are illustrative and simulated. They are not observed market evidence. The lesson assumes a competitive market, unchanged linear underlying demand and supply, a fully collected $4 per-bottle tax, no avoidance, no externalities and no other policy change. Quantities are bottles per day; prices are dollars per bottle.</w:t>
      </w:r>
    </w:p>
    <w:p>
      <w:pPr/>
      <w:r>
        <w:rPr>
          <w:b w:val="0"/>
          <w:i w:val="0"/>
        </w:rPr>
        <w:t>Use this file only after students have attempted the corresponding numbered tasks. The separate student source contains the prompts and answer spaces. This key solves tasks 1 through 12, including subprompts. Optional checks below support the teacher; they are not extra required student tasks within the 40 minutes. Designed timing has not been classroom piloted. Students need prior practice with supply/demand graphs, surplus, and rectangle/triangle areas; use more time or a prerequisite lesson if those foundations are insecure.</w:t>
      </w:r>
    </w:p>
    <w:p>
      <w:pPr>
        <w:pStyle w:val="Heading2"/>
      </w:pPr>
      <w:r>
        <w:rPr>
          <w:b w:val="0"/>
          <w:i w:val="0"/>
        </w:rPr>
        <w:t>At a glance</w:t>
      </w:r>
    </w:p>
    <w:tbl>
      <w:tblPr>
        <w:tblStyle w:val="TableGrid"/>
        <w:tblW w:type="dxa" w:w="10224"/>
        <w:jc w:val="left"/>
        <w:tblLayout w:type="fixed"/>
        <w:tblLook w:firstColumn="1" w:firstRow="1" w:lastColumn="0" w:lastRow="0" w:noHBand="0" w:noVBand="1" w:val="04A0"/>
        <w:tblInd w:type="dxa" w:w="0"/>
        <w:tblBorders>
          <w:top w:val="single" w:sz="4" w:color="94A0AF"/>
          <w:left w:val="single" w:sz="4" w:color="94A0AF"/>
          <w:bottom w:val="single" w:sz="4" w:color="94A0AF"/>
          <w:right w:val="single" w:sz="4" w:color="94A0AF"/>
          <w:insideH w:val="single" w:sz="4" w:color="94A0AF"/>
          <w:insideV w:val="single" w:sz="4" w:color="94A0AF"/>
        </w:tblBorders>
      </w:tblPr>
      <w:tblGrid>
        <w:gridCol w:w="3408"/>
        <w:gridCol w:w="3408"/>
        <w:gridCol w:w="3408"/>
      </w:tblGrid>
      <w:tr>
        <w:trPr>
          <w:tblHeader w:val="true"/>
          <w:cantSplit/>
        </w:trPr>
        <w:tc>
          <w:tcPr>
            <w:tcW w:type="dxa" w:w="3408"/>
          </w:tcPr>
          <w:p>
            <w:pPr>
              <w:spacing w:line="240" w:lineRule="auto" w:before="0" w:after="20"/>
            </w:pPr>
            <w:r>
              <w:rPr>
                <w:rFonts w:ascii="Arial" w:hAnsi="Arial"/>
                <w:b/>
                <w:i w:val="0"/>
                <w:sz w:val="20"/>
              </w:rPr>
              <w:t>Result</w:t>
            </w:r>
          </w:p>
        </w:tc>
        <w:tc>
          <w:tcPr>
            <w:tcW w:type="dxa" w:w="3408"/>
          </w:tcPr>
          <w:p>
            <w:pPr>
              <w:spacing w:line="240" w:lineRule="auto" w:before="0" w:after="20"/>
            </w:pPr>
            <w:r>
              <w:rPr>
                <w:rFonts w:ascii="Arial" w:hAnsi="Arial"/>
                <w:b/>
                <w:i w:val="0"/>
                <w:sz w:val="20"/>
              </w:rPr>
              <w:t>Before tax</w:t>
            </w:r>
          </w:p>
        </w:tc>
        <w:tc>
          <w:tcPr>
            <w:tcW w:type="dxa" w:w="3408"/>
          </w:tcPr>
          <w:p>
            <w:pPr>
              <w:spacing w:line="240" w:lineRule="auto" w:before="0" w:after="20"/>
            </w:pPr>
            <w:r>
              <w:rPr>
                <w:rFonts w:ascii="Arial" w:hAnsi="Arial"/>
                <w:b/>
                <w:i w:val="0"/>
                <w:sz w:val="20"/>
              </w:rPr>
              <w:t>After tax</w:t>
            </w:r>
          </w:p>
        </w:tc>
      </w:tr>
      <w:tr>
        <w:trPr>
          <w:cantSplit/>
        </w:trPr>
        <w:tc>
          <w:tcPr>
            <w:tcW w:type="dxa" w:w="3408"/>
          </w:tcPr>
          <w:p>
            <w:pPr>
              <w:spacing w:line="240" w:lineRule="auto" w:before="0" w:after="20"/>
            </w:pPr>
            <w:r>
              <w:rPr>
                <w:rFonts w:ascii="Arial" w:hAnsi="Arial"/>
                <w:b w:val="0"/>
                <w:i w:val="0"/>
                <w:sz w:val="20"/>
              </w:rPr>
              <w:t>Bottles traded per day</w:t>
            </w:r>
          </w:p>
        </w:tc>
        <w:tc>
          <w:tcPr>
            <w:tcW w:type="dxa" w:w="3408"/>
          </w:tcPr>
          <w:p>
            <w:pPr>
              <w:spacing w:line="240" w:lineRule="auto" w:before="0" w:after="20"/>
            </w:pPr>
            <w:r>
              <w:rPr>
                <w:rFonts w:ascii="Arial" w:hAnsi="Arial"/>
                <w:b w:val="0"/>
                <w:i w:val="0"/>
                <w:sz w:val="20"/>
              </w:rPr>
              <w:t>12</w:t>
            </w:r>
          </w:p>
        </w:tc>
        <w:tc>
          <w:tcPr>
            <w:tcW w:type="dxa" w:w="3408"/>
          </w:tcPr>
          <w:p>
            <w:pPr>
              <w:spacing w:line="240" w:lineRule="auto" w:before="0" w:after="20"/>
            </w:pPr>
            <w:r>
              <w:rPr>
                <w:rFonts w:ascii="Arial" w:hAnsi="Arial"/>
                <w:b w:val="0"/>
                <w:i w:val="0"/>
                <w:sz w:val="20"/>
              </w:rPr>
              <w:t>8</w:t>
            </w:r>
          </w:p>
        </w:tc>
      </w:tr>
      <w:tr>
        <w:trPr>
          <w:cantSplit/>
        </w:trPr>
        <w:tc>
          <w:tcPr>
            <w:tcW w:type="dxa" w:w="3408"/>
          </w:tcPr>
          <w:p>
            <w:pPr>
              <w:spacing w:line="240" w:lineRule="auto" w:before="0" w:after="20"/>
            </w:pPr>
            <w:r>
              <w:rPr>
                <w:rFonts w:ascii="Arial" w:hAnsi="Arial"/>
                <w:b w:val="0"/>
                <w:i w:val="0"/>
                <w:sz w:val="20"/>
              </w:rPr>
              <w:t>Buyer price, dollars per bottle</w:t>
            </w:r>
          </w:p>
        </w:tc>
        <w:tc>
          <w:tcPr>
            <w:tcW w:type="dxa" w:w="3408"/>
          </w:tcPr>
          <w:p>
            <w:pPr>
              <w:spacing w:line="240" w:lineRule="auto" w:before="0" w:after="20"/>
            </w:pPr>
            <w:r>
              <w:rPr>
                <w:rFonts w:ascii="Arial" w:hAnsi="Arial"/>
                <w:b w:val="0"/>
                <w:i w:val="0"/>
                <w:sz w:val="20"/>
              </w:rPr>
              <w:t>$6</w:t>
            </w:r>
          </w:p>
        </w:tc>
        <w:tc>
          <w:tcPr>
            <w:tcW w:type="dxa" w:w="3408"/>
          </w:tcPr>
          <w:p>
            <w:pPr>
              <w:spacing w:line="240" w:lineRule="auto" w:before="0" w:after="20"/>
            </w:pPr>
            <w:r>
              <w:rPr>
                <w:rFonts w:ascii="Arial" w:hAnsi="Arial"/>
                <w:b w:val="0"/>
                <w:i w:val="0"/>
                <w:sz w:val="20"/>
              </w:rPr>
              <w:t>$8</w:t>
            </w:r>
          </w:p>
        </w:tc>
      </w:tr>
      <w:tr>
        <w:trPr>
          <w:cantSplit/>
        </w:trPr>
        <w:tc>
          <w:tcPr>
            <w:tcW w:type="dxa" w:w="3408"/>
          </w:tcPr>
          <w:p>
            <w:pPr>
              <w:spacing w:line="240" w:lineRule="auto" w:before="0" w:after="20"/>
            </w:pPr>
            <w:r>
              <w:rPr>
                <w:rFonts w:ascii="Arial" w:hAnsi="Arial"/>
                <w:b w:val="0"/>
                <w:i w:val="0"/>
                <w:sz w:val="20"/>
              </w:rPr>
              <w:t>Seller receipt after any tax payment, dollars per bottle</w:t>
            </w:r>
          </w:p>
        </w:tc>
        <w:tc>
          <w:tcPr>
            <w:tcW w:type="dxa" w:w="3408"/>
          </w:tcPr>
          <w:p>
            <w:pPr>
              <w:spacing w:line="240" w:lineRule="auto" w:before="0" w:after="20"/>
            </w:pPr>
            <w:r>
              <w:rPr>
                <w:rFonts w:ascii="Arial" w:hAnsi="Arial"/>
                <w:b w:val="0"/>
                <w:i w:val="0"/>
                <w:sz w:val="20"/>
              </w:rPr>
              <w:t>$6</w:t>
            </w:r>
          </w:p>
        </w:tc>
        <w:tc>
          <w:tcPr>
            <w:tcW w:type="dxa" w:w="3408"/>
          </w:tcPr>
          <w:p>
            <w:pPr>
              <w:spacing w:line="240" w:lineRule="auto" w:before="0" w:after="20"/>
            </w:pPr>
            <w:r>
              <w:rPr>
                <w:rFonts w:ascii="Arial" w:hAnsi="Arial"/>
                <w:b w:val="0"/>
                <w:i w:val="0"/>
                <w:sz w:val="20"/>
              </w:rPr>
              <w:t>$4</w:t>
            </w:r>
          </w:p>
        </w:tc>
      </w:tr>
      <w:tr>
        <w:trPr>
          <w:cantSplit/>
        </w:trPr>
        <w:tc>
          <w:tcPr>
            <w:tcW w:type="dxa" w:w="3408"/>
          </w:tcPr>
          <w:p>
            <w:pPr>
              <w:spacing w:line="240" w:lineRule="auto" w:before="0" w:after="20"/>
            </w:pPr>
            <w:r>
              <w:rPr>
                <w:rFonts w:ascii="Arial" w:hAnsi="Arial"/>
                <w:b w:val="0"/>
                <w:i w:val="0"/>
                <w:sz w:val="20"/>
              </w:rPr>
              <w:t>Tax wedge, dollars per bottle</w:t>
            </w:r>
          </w:p>
        </w:tc>
        <w:tc>
          <w:tcPr>
            <w:tcW w:type="dxa" w:w="3408"/>
          </w:tcPr>
          <w:p>
            <w:pPr>
              <w:spacing w:line="240" w:lineRule="auto" w:before="0" w:after="20"/>
            </w:pPr>
            <w:r>
              <w:rPr>
                <w:rFonts w:ascii="Arial" w:hAnsi="Arial"/>
                <w:b w:val="0"/>
                <w:i w:val="0"/>
                <w:sz w:val="20"/>
              </w:rPr>
              <w:t>$0</w:t>
            </w:r>
          </w:p>
        </w:tc>
        <w:tc>
          <w:tcPr>
            <w:tcW w:type="dxa" w:w="3408"/>
          </w:tcPr>
          <w:p>
            <w:pPr>
              <w:spacing w:line="240" w:lineRule="auto" w:before="0" w:after="20"/>
            </w:pPr>
            <w:r>
              <w:rPr>
                <w:rFonts w:ascii="Arial" w:hAnsi="Arial"/>
                <w:b w:val="0"/>
                <w:i w:val="0"/>
                <w:sz w:val="20"/>
              </w:rPr>
              <w:t>$4</w:t>
            </w:r>
          </w:p>
        </w:tc>
      </w:tr>
    </w:tbl>
    <w:p>
      <w:pPr/>
      <w:r>
        <w:rPr>
          <w:b w:val="0"/>
          <w:i w:val="0"/>
        </w:rPr>
        <w:t xml:space="preserve">Buyer burden: $2 per traded bottle, $16 per day, 50% of the tax. Seller burden: $2 per traded bottle, $16 per day, 50% of the tax. Government revenue: $32 per day. Deadweight loss: $8 per day. Exit answers: </w:t>
      </w:r>
      <w:r>
        <w:rPr>
          <w:b/>
          <w:i w:val="0"/>
        </w:rPr>
        <w:t>9 B; 10 D; 11 A; 12 C</w:t>
      </w:r>
      <w:r>
        <w:rPr>
          <w:b w:val="0"/>
          <w:i w:val="0"/>
        </w:rPr>
        <w:t>.</w:t>
      </w:r>
    </w:p>
    <w:p>
      <w:pPr>
        <w:pStyle w:val="Heading2"/>
      </w:pPr>
      <w:r>
        <w:rPr>
          <w:b w:val="0"/>
          <w:i w:val="0"/>
        </w:rPr>
        <w:t>1. Initial prediction and later revision</w:t>
      </w:r>
    </w:p>
    <w:p>
      <w:pPr/>
      <w:r>
        <w:rPr>
          <w:b/>
          <w:i w:val="0"/>
        </w:rPr>
        <w:t>Ungraded.</w:t>
      </w:r>
      <w:r>
        <w:rPr>
          <w:b w:val="0"/>
          <w:i w:val="0"/>
        </w:rPr>
        <w:t xml:space="preserve"> Accept any initial prediction that gives a reason. A student may initially predict that sellers bear all the tax because they remit it, that buyers pay it through a higher price, or that the burden is shared. The purpose is to make the student's thinking visible before calculation, not to award a point for guessing correctly.</w:t>
      </w:r>
    </w:p>
    <w:p>
      <w:pPr/>
      <w:r>
        <w:rPr>
          <w:b w:val="0"/>
          <w:i w:val="0"/>
        </w:rPr>
        <w:t>After task 7, ask students to revisit the prediction using the actual prices. A sound revision says: sellers remit the $4, but the buyer price rises from $6 to $8 and the seller's retained price falls from $6 to $4. Each side therefore bears $2 per traded bottle in this market.</w:t>
      </w:r>
    </w:p>
    <w:p>
      <w:pPr/>
      <w:r>
        <w:rPr>
          <w:b/>
          <w:i w:val="0"/>
        </w:rPr>
        <w:t>Teacher check:</w:t>
      </w:r>
      <w:r>
        <w:rPr>
          <w:b w:val="0"/>
          <w:i w:val="0"/>
        </w:rPr>
        <w:t xml:space="preserve"> Look for a price-based explanation in the revision. A tax remittance rule identifies who sends money to government; it does not by itself identify the economic burden.</w:t>
      </w:r>
    </w:p>
    <w:p>
      <w:pPr>
        <w:pStyle w:val="Heading2"/>
      </w:pPr>
      <w:r>
        <w:rPr>
          <w:b w:val="0"/>
          <w:i w:val="0"/>
        </w:rPr>
        <w:t>2. Original demand, supply and equilibrium</w:t>
      </w:r>
    </w:p>
    <w:p>
      <w:pPr/>
      <w:r>
        <w:rPr>
          <w:b w:val="0"/>
          <w:i w:val="0"/>
        </w:rPr>
        <w:t xml:space="preserve">The horizontal axis is </w:t>
      </w:r>
      <w:r>
        <w:rPr>
          <w:b/>
          <w:i w:val="0"/>
        </w:rPr>
        <w:t>Quantity of reusable bottles, bottles per day</w:t>
      </w:r>
      <w:r>
        <w:rPr>
          <w:b w:val="0"/>
          <w:i w:val="0"/>
        </w:rPr>
        <w:t xml:space="preserve">. The vertical axis is </w:t>
      </w:r>
      <w:r>
        <w:rPr>
          <w:b/>
          <w:i w:val="0"/>
        </w:rPr>
        <w:t>Price, dollars per bottle</w:t>
      </w:r>
      <w:r>
        <w:rPr>
          <w:b w:val="0"/>
          <w:i w:val="0"/>
        </w:rPr>
        <w:t>. Use the supplied scales, from 0 to 24 bottles per day and from $0 to $16 per bottle.</w:t>
      </w:r>
    </w:p>
    <w:p>
      <w:pPr>
        <w:pStyle w:val="ListBullet"/>
      </w:pPr>
      <w:r>
        <w:rPr>
          <w:b w:val="0"/>
          <w:i w:val="0"/>
        </w:rPr>
        <w:t xml:space="preserve">Demand D connects </w:t>
      </w:r>
      <w:r>
        <w:rPr>
          <w:b w:val="0"/>
          <w:i w:val="0"/>
        </w:rPr>
        <w:t>(0,12)</w:t>
      </w:r>
      <w:r>
        <w:rPr>
          <w:b w:val="0"/>
          <w:i w:val="0"/>
        </w:rPr>
        <w:t xml:space="preserve"> and </w:t>
      </w:r>
      <w:r>
        <w:rPr>
          <w:b w:val="0"/>
          <w:i w:val="0"/>
        </w:rPr>
        <w:t>(24,0)</w:t>
      </w:r>
      <w:r>
        <w:rPr>
          <w:b w:val="0"/>
          <w:i w:val="0"/>
        </w:rPr>
        <w:t>. It passes through all supplied demand-table points.</w:t>
      </w:r>
    </w:p>
    <w:p>
      <w:pPr>
        <w:pStyle w:val="ListBullet"/>
      </w:pPr>
      <w:r>
        <w:rPr>
          <w:b w:val="0"/>
          <w:i w:val="0"/>
        </w:rPr>
        <w:t xml:space="preserve">Original supply S connects </w:t>
      </w:r>
      <w:r>
        <w:rPr>
          <w:b w:val="0"/>
          <w:i w:val="0"/>
        </w:rPr>
        <w:t>(0,0)</w:t>
      </w:r>
      <w:r>
        <w:rPr>
          <w:b w:val="0"/>
          <w:i w:val="0"/>
        </w:rPr>
        <w:t xml:space="preserve"> and </w:t>
      </w:r>
      <w:r>
        <w:rPr>
          <w:b w:val="0"/>
          <w:i w:val="0"/>
        </w:rPr>
        <w:t>(24,12)</w:t>
      </w:r>
      <w:r>
        <w:rPr>
          <w:b w:val="0"/>
          <w:i w:val="0"/>
        </w:rPr>
        <w:t>. It passes through all supplied supply-table points.</w:t>
      </w:r>
    </w:p>
    <w:p>
      <w:pPr>
        <w:pStyle w:val="ListBullet"/>
      </w:pPr>
      <w:r>
        <w:rPr>
          <w:b w:val="0"/>
          <w:i w:val="0"/>
        </w:rPr>
        <w:t xml:space="preserve">The original equilibrium E0 is </w:t>
      </w:r>
      <w:r>
        <w:rPr>
          <w:b w:val="0"/>
          <w:i w:val="0"/>
        </w:rPr>
        <w:t>(12,6)</w:t>
      </w:r>
      <w:r>
        <w:rPr>
          <w:b w:val="0"/>
          <w:i w:val="0"/>
        </w:rPr>
        <w:t xml:space="preserve">. Label Q0 = </w:t>
      </w:r>
      <w:r>
        <w:rPr>
          <w:b/>
          <w:i w:val="0"/>
        </w:rPr>
        <w:t>12 bottles/day</w:t>
      </w:r>
      <w:r>
        <w:rPr>
          <w:b w:val="0"/>
          <w:i w:val="0"/>
        </w:rPr>
        <w:t xml:space="preserve"> and P0 = </w:t>
      </w:r>
      <w:r>
        <w:rPr>
          <w:b/>
          <w:i w:val="0"/>
        </w:rPr>
        <w:t>$6/bottle</w:t>
      </w:r>
      <w:r>
        <w:rPr>
          <w:b w:val="0"/>
          <w:i w:val="0"/>
        </w:rPr>
        <w:t>.</w:t>
      </w:r>
    </w:p>
    <w:p>
      <w:pPr/>
      <w:r>
        <w:rPr>
          <w:b w:val="0"/>
          <w:i w:val="0"/>
        </w:rPr>
        <w:t xml:space="preserve">At Q = 12, the demand price and supply price are both $6. This is the common price and quantity at which quantity demanded equals quantity supplied. An algebraic cross-check is </w:t>
      </w:r>
      <w:r>
        <w:rPr>
          <w:b w:val="0"/>
          <w:i w:val="0"/>
        </w:rPr>
        <w:t>12 - Q/2 = Q/2</w:t>
      </w:r>
      <w:r>
        <w:rPr>
          <w:b w:val="0"/>
          <w:i w:val="0"/>
        </w:rPr>
        <w:t xml:space="preserve">, giving </w:t>
      </w:r>
      <w:r>
        <w:rPr>
          <w:b w:val="0"/>
          <w:i w:val="0"/>
        </w:rPr>
        <w:t>Q = 12</w:t>
      </w:r>
      <w:r>
        <w:rPr>
          <w:b w:val="0"/>
          <w:i w:val="0"/>
        </w:rPr>
        <w:t xml:space="preserve"> and </w:t>
      </w:r>
      <w:r>
        <w:rPr>
          <w:b w:val="0"/>
          <w:i w:val="0"/>
        </w:rPr>
        <w:t>P = 6</w:t>
      </w:r>
      <w:r>
        <w:rPr>
          <w:b w:val="0"/>
          <w:i w:val="0"/>
        </w:rPr>
        <w:t>.</w:t>
      </w:r>
    </w:p>
    <w:p>
      <w:pPr/>
      <w:r>
        <w:rPr>
          <w:b/>
          <w:i w:val="0"/>
        </w:rPr>
        <w:t>Teacher checks:</w:t>
      </w:r>
      <w:r>
        <w:rPr>
          <w:b w:val="0"/>
          <w:i w:val="0"/>
        </w:rPr>
        <w:t xml:space="preserve"> Axes have quantities and units; curves have D and S labels; E0 lies on both curves; horizontal and vertical guides, if used, land at Q0 = 12 and P0 = 6. The demand intercept of $12 is not the equilibrium price.</w:t>
      </w:r>
    </w:p>
    <w:p>
      <w:pPr>
        <w:pStyle w:val="Heading2"/>
      </w:pPr>
      <w:r>
        <w:rPr>
          <w:b w:val="0"/>
          <w:i w:val="0"/>
        </w:rPr>
        <w:t>3. Seller asking-price-with-tax column</w:t>
      </w:r>
    </w:p>
    <w:p>
      <w:pPr/>
      <w:r>
        <w:rPr>
          <w:b w:val="0"/>
          <w:i w:val="0"/>
        </w:rPr>
        <w:t>At each quantity, add the $4 tax to the original supply price. These are the prices buyers would have to pay for sellers to retain the original supply price after remitting the tax.</w:t>
      </w:r>
    </w:p>
    <w:tbl>
      <w:tblPr>
        <w:tblStyle w:val="TableGrid"/>
        <w:tblW w:type="dxa" w:w="10224"/>
        <w:jc w:val="left"/>
        <w:tblLayout w:type="fixed"/>
        <w:tblLook w:firstColumn="1" w:firstRow="1" w:lastColumn="0" w:lastRow="0" w:noHBand="0" w:noVBand="1" w:val="04A0"/>
        <w:tblInd w:type="dxa" w:w="0"/>
        <w:tblBorders>
          <w:top w:val="single" w:sz="4" w:color="94A0AF"/>
          <w:left w:val="single" w:sz="4" w:color="94A0AF"/>
          <w:bottom w:val="single" w:sz="4" w:color="94A0AF"/>
          <w:right w:val="single" w:sz="4" w:color="94A0AF"/>
          <w:insideH w:val="single" w:sz="4" w:color="94A0AF"/>
          <w:insideV w:val="single" w:sz="4" w:color="94A0AF"/>
        </w:tblBorders>
      </w:tblPr>
      <w:tblGrid>
        <w:gridCol w:w="2556"/>
        <w:gridCol w:w="2556"/>
        <w:gridCol w:w="2556"/>
        <w:gridCol w:w="2556"/>
      </w:tblGrid>
      <w:tr>
        <w:trPr>
          <w:tblHeader w:val="true"/>
          <w:cantSplit/>
        </w:trPr>
        <w:tc>
          <w:tcPr>
            <w:tcW w:type="dxa" w:w="2556"/>
          </w:tcPr>
          <w:p>
            <w:pPr>
              <w:spacing w:line="240" w:lineRule="auto" w:before="0" w:after="20"/>
            </w:pPr>
            <w:r>
              <w:rPr>
                <w:rFonts w:ascii="Arial" w:hAnsi="Arial"/>
                <w:b/>
                <w:i w:val="0"/>
                <w:sz w:val="20"/>
              </w:rPr>
              <w:t>Q, bottles/day</w:t>
            </w:r>
          </w:p>
        </w:tc>
        <w:tc>
          <w:tcPr>
            <w:tcW w:type="dxa" w:w="2556"/>
          </w:tcPr>
          <w:p>
            <w:pPr>
              <w:spacing w:line="240" w:lineRule="auto" w:before="0" w:after="20"/>
            </w:pPr>
            <w:r>
              <w:rPr>
                <w:rFonts w:ascii="Arial" w:hAnsi="Arial"/>
                <w:b/>
                <w:i w:val="0"/>
                <w:sz w:val="20"/>
              </w:rPr>
              <w:t>Demand price, $/bottle</w:t>
            </w:r>
          </w:p>
        </w:tc>
        <w:tc>
          <w:tcPr>
            <w:tcW w:type="dxa" w:w="2556"/>
          </w:tcPr>
          <w:p>
            <w:pPr>
              <w:spacing w:line="240" w:lineRule="auto" w:before="0" w:after="20"/>
            </w:pPr>
            <w:r>
              <w:rPr>
                <w:rFonts w:ascii="Arial" w:hAnsi="Arial"/>
                <w:b/>
                <w:i w:val="0"/>
                <w:sz w:val="20"/>
              </w:rPr>
              <w:t>Original supply price, $/bottle</w:t>
            </w:r>
          </w:p>
        </w:tc>
        <w:tc>
          <w:tcPr>
            <w:tcW w:type="dxa" w:w="2556"/>
          </w:tcPr>
          <w:p>
            <w:pPr>
              <w:spacing w:line="240" w:lineRule="auto" w:before="0" w:after="20"/>
            </w:pPr>
            <w:r>
              <w:rPr>
                <w:rFonts w:ascii="Arial" w:hAnsi="Arial"/>
                <w:b/>
                <w:i w:val="0"/>
                <w:sz w:val="20"/>
              </w:rPr>
              <w:t>Seller asking price with tax, $/bottle</w:t>
            </w:r>
          </w:p>
        </w:tc>
      </w:tr>
      <w:tr>
        <w:trPr>
          <w:cantSplit/>
        </w:trPr>
        <w:tc>
          <w:tcPr>
            <w:tcW w:type="dxa" w:w="2556"/>
          </w:tcPr>
          <w:p>
            <w:pPr>
              <w:spacing w:line="240" w:lineRule="auto" w:before="0" w:after="20"/>
            </w:pPr>
            <w:r>
              <w:rPr>
                <w:rFonts w:ascii="Arial" w:hAnsi="Arial"/>
                <w:b w:val="0"/>
                <w:i w:val="0"/>
                <w:sz w:val="20"/>
              </w:rPr>
              <w:t>0</w:t>
            </w:r>
          </w:p>
        </w:tc>
        <w:tc>
          <w:tcPr>
            <w:tcW w:type="dxa" w:w="2556"/>
          </w:tcPr>
          <w:p>
            <w:pPr>
              <w:spacing w:line="240" w:lineRule="auto" w:before="0" w:after="20"/>
            </w:pPr>
            <w:r>
              <w:rPr>
                <w:rFonts w:ascii="Arial" w:hAnsi="Arial"/>
                <w:b w:val="0"/>
                <w:i w:val="0"/>
                <w:sz w:val="20"/>
              </w:rPr>
              <w:t>12</w:t>
            </w:r>
          </w:p>
        </w:tc>
        <w:tc>
          <w:tcPr>
            <w:tcW w:type="dxa" w:w="2556"/>
          </w:tcPr>
          <w:p>
            <w:pPr>
              <w:spacing w:line="240" w:lineRule="auto" w:before="0" w:after="20"/>
            </w:pPr>
            <w:r>
              <w:rPr>
                <w:rFonts w:ascii="Arial" w:hAnsi="Arial"/>
                <w:b w:val="0"/>
                <w:i w:val="0"/>
                <w:sz w:val="20"/>
              </w:rPr>
              <w:t>0</w:t>
            </w:r>
          </w:p>
        </w:tc>
        <w:tc>
          <w:tcPr>
            <w:tcW w:type="dxa" w:w="2556"/>
          </w:tcPr>
          <w:p>
            <w:pPr>
              <w:spacing w:line="240" w:lineRule="auto" w:before="0" w:after="20"/>
            </w:pPr>
            <w:r>
              <w:rPr>
                <w:rFonts w:ascii="Arial" w:hAnsi="Arial"/>
                <w:b w:val="0"/>
                <w:i w:val="0"/>
                <w:sz w:val="20"/>
              </w:rPr>
              <w:t>4</w:t>
            </w:r>
          </w:p>
        </w:tc>
      </w:tr>
      <w:tr>
        <w:trPr>
          <w:cantSplit/>
        </w:trPr>
        <w:tc>
          <w:tcPr>
            <w:tcW w:type="dxa" w:w="2556"/>
          </w:tcPr>
          <w:p>
            <w:pPr>
              <w:spacing w:line="240" w:lineRule="auto" w:before="0" w:after="20"/>
            </w:pPr>
            <w:r>
              <w:rPr>
                <w:rFonts w:ascii="Arial" w:hAnsi="Arial"/>
                <w:b w:val="0"/>
                <w:i w:val="0"/>
                <w:sz w:val="20"/>
              </w:rPr>
              <w:t>4</w:t>
            </w:r>
          </w:p>
        </w:tc>
        <w:tc>
          <w:tcPr>
            <w:tcW w:type="dxa" w:w="2556"/>
          </w:tcPr>
          <w:p>
            <w:pPr>
              <w:spacing w:line="240" w:lineRule="auto" w:before="0" w:after="20"/>
            </w:pPr>
            <w:r>
              <w:rPr>
                <w:rFonts w:ascii="Arial" w:hAnsi="Arial"/>
                <w:b w:val="0"/>
                <w:i w:val="0"/>
                <w:sz w:val="20"/>
              </w:rPr>
              <w:t>10</w:t>
            </w:r>
          </w:p>
        </w:tc>
        <w:tc>
          <w:tcPr>
            <w:tcW w:type="dxa" w:w="2556"/>
          </w:tcPr>
          <w:p>
            <w:pPr>
              <w:spacing w:line="240" w:lineRule="auto" w:before="0" w:after="20"/>
            </w:pPr>
            <w:r>
              <w:rPr>
                <w:rFonts w:ascii="Arial" w:hAnsi="Arial"/>
                <w:b w:val="0"/>
                <w:i w:val="0"/>
                <w:sz w:val="20"/>
              </w:rPr>
              <w:t>2</w:t>
            </w:r>
          </w:p>
        </w:tc>
        <w:tc>
          <w:tcPr>
            <w:tcW w:type="dxa" w:w="2556"/>
          </w:tcPr>
          <w:p>
            <w:pPr>
              <w:spacing w:line="240" w:lineRule="auto" w:before="0" w:after="20"/>
            </w:pPr>
            <w:r>
              <w:rPr>
                <w:rFonts w:ascii="Arial" w:hAnsi="Arial"/>
                <w:b w:val="0"/>
                <w:i w:val="0"/>
                <w:sz w:val="20"/>
              </w:rPr>
              <w:t>6</w:t>
            </w:r>
          </w:p>
        </w:tc>
      </w:tr>
      <w:tr>
        <w:trPr>
          <w:cantSplit/>
        </w:trPr>
        <w:tc>
          <w:tcPr>
            <w:tcW w:type="dxa" w:w="2556"/>
          </w:tcPr>
          <w:p>
            <w:pPr>
              <w:spacing w:line="240" w:lineRule="auto" w:before="0" w:after="20"/>
            </w:pPr>
            <w:r>
              <w:rPr>
                <w:rFonts w:ascii="Arial" w:hAnsi="Arial"/>
                <w:b w:val="0"/>
                <w:i w:val="0"/>
                <w:sz w:val="20"/>
              </w:rPr>
              <w:t>8</w:t>
            </w:r>
          </w:p>
        </w:tc>
        <w:tc>
          <w:tcPr>
            <w:tcW w:type="dxa" w:w="2556"/>
          </w:tcPr>
          <w:p>
            <w:pPr>
              <w:spacing w:line="240" w:lineRule="auto" w:before="0" w:after="20"/>
            </w:pPr>
            <w:r>
              <w:rPr>
                <w:rFonts w:ascii="Arial" w:hAnsi="Arial"/>
                <w:b w:val="0"/>
                <w:i w:val="0"/>
                <w:sz w:val="20"/>
              </w:rPr>
              <w:t>8</w:t>
            </w:r>
          </w:p>
        </w:tc>
        <w:tc>
          <w:tcPr>
            <w:tcW w:type="dxa" w:w="2556"/>
          </w:tcPr>
          <w:p>
            <w:pPr>
              <w:spacing w:line="240" w:lineRule="auto" w:before="0" w:after="20"/>
            </w:pPr>
            <w:r>
              <w:rPr>
                <w:rFonts w:ascii="Arial" w:hAnsi="Arial"/>
                <w:b w:val="0"/>
                <w:i w:val="0"/>
                <w:sz w:val="20"/>
              </w:rPr>
              <w:t>4</w:t>
            </w:r>
          </w:p>
        </w:tc>
        <w:tc>
          <w:tcPr>
            <w:tcW w:type="dxa" w:w="2556"/>
          </w:tcPr>
          <w:p>
            <w:pPr>
              <w:spacing w:line="240" w:lineRule="auto" w:before="0" w:after="20"/>
            </w:pPr>
            <w:r>
              <w:rPr>
                <w:rFonts w:ascii="Arial" w:hAnsi="Arial"/>
                <w:b w:val="0"/>
                <w:i w:val="0"/>
                <w:sz w:val="20"/>
              </w:rPr>
              <w:t>8</w:t>
            </w:r>
          </w:p>
        </w:tc>
      </w:tr>
      <w:tr>
        <w:trPr>
          <w:cantSplit/>
        </w:trPr>
        <w:tc>
          <w:tcPr>
            <w:tcW w:type="dxa" w:w="2556"/>
          </w:tcPr>
          <w:p>
            <w:pPr>
              <w:spacing w:line="240" w:lineRule="auto" w:before="0" w:after="20"/>
            </w:pPr>
            <w:r>
              <w:rPr>
                <w:rFonts w:ascii="Arial" w:hAnsi="Arial"/>
                <w:b w:val="0"/>
                <w:i w:val="0"/>
                <w:sz w:val="20"/>
              </w:rPr>
              <w:t>12</w:t>
            </w:r>
          </w:p>
        </w:tc>
        <w:tc>
          <w:tcPr>
            <w:tcW w:type="dxa" w:w="2556"/>
          </w:tcPr>
          <w:p>
            <w:pPr>
              <w:spacing w:line="240" w:lineRule="auto" w:before="0" w:after="20"/>
            </w:pPr>
            <w:r>
              <w:rPr>
                <w:rFonts w:ascii="Arial" w:hAnsi="Arial"/>
                <w:b w:val="0"/>
                <w:i w:val="0"/>
                <w:sz w:val="20"/>
              </w:rPr>
              <w:t>6</w:t>
            </w:r>
          </w:p>
        </w:tc>
        <w:tc>
          <w:tcPr>
            <w:tcW w:type="dxa" w:w="2556"/>
          </w:tcPr>
          <w:p>
            <w:pPr>
              <w:spacing w:line="240" w:lineRule="auto" w:before="0" w:after="20"/>
            </w:pPr>
            <w:r>
              <w:rPr>
                <w:rFonts w:ascii="Arial" w:hAnsi="Arial"/>
                <w:b w:val="0"/>
                <w:i w:val="0"/>
                <w:sz w:val="20"/>
              </w:rPr>
              <w:t>6</w:t>
            </w:r>
          </w:p>
        </w:tc>
        <w:tc>
          <w:tcPr>
            <w:tcW w:type="dxa" w:w="2556"/>
          </w:tcPr>
          <w:p>
            <w:pPr>
              <w:spacing w:line="240" w:lineRule="auto" w:before="0" w:after="20"/>
            </w:pPr>
            <w:r>
              <w:rPr>
                <w:rFonts w:ascii="Arial" w:hAnsi="Arial"/>
                <w:b w:val="0"/>
                <w:i w:val="0"/>
                <w:sz w:val="20"/>
              </w:rPr>
              <w:t>10</w:t>
            </w:r>
          </w:p>
        </w:tc>
      </w:tr>
      <w:tr>
        <w:trPr>
          <w:cantSplit/>
        </w:trPr>
        <w:tc>
          <w:tcPr>
            <w:tcW w:type="dxa" w:w="2556"/>
          </w:tcPr>
          <w:p>
            <w:pPr>
              <w:spacing w:line="240" w:lineRule="auto" w:before="0" w:after="20"/>
            </w:pPr>
            <w:r>
              <w:rPr>
                <w:rFonts w:ascii="Arial" w:hAnsi="Arial"/>
                <w:b w:val="0"/>
                <w:i w:val="0"/>
                <w:sz w:val="20"/>
              </w:rPr>
              <w:t>16</w:t>
            </w:r>
          </w:p>
        </w:tc>
        <w:tc>
          <w:tcPr>
            <w:tcW w:type="dxa" w:w="2556"/>
          </w:tcPr>
          <w:p>
            <w:pPr>
              <w:spacing w:line="240" w:lineRule="auto" w:before="0" w:after="20"/>
            </w:pPr>
            <w:r>
              <w:rPr>
                <w:rFonts w:ascii="Arial" w:hAnsi="Arial"/>
                <w:b w:val="0"/>
                <w:i w:val="0"/>
                <w:sz w:val="20"/>
              </w:rPr>
              <w:t>4</w:t>
            </w:r>
          </w:p>
        </w:tc>
        <w:tc>
          <w:tcPr>
            <w:tcW w:type="dxa" w:w="2556"/>
          </w:tcPr>
          <w:p>
            <w:pPr>
              <w:spacing w:line="240" w:lineRule="auto" w:before="0" w:after="20"/>
            </w:pPr>
            <w:r>
              <w:rPr>
                <w:rFonts w:ascii="Arial" w:hAnsi="Arial"/>
                <w:b w:val="0"/>
                <w:i w:val="0"/>
                <w:sz w:val="20"/>
              </w:rPr>
              <w:t>8</w:t>
            </w:r>
          </w:p>
        </w:tc>
        <w:tc>
          <w:tcPr>
            <w:tcW w:type="dxa" w:w="2556"/>
          </w:tcPr>
          <w:p>
            <w:pPr>
              <w:spacing w:line="240" w:lineRule="auto" w:before="0" w:after="20"/>
            </w:pPr>
            <w:r>
              <w:rPr>
                <w:rFonts w:ascii="Arial" w:hAnsi="Arial"/>
                <w:b w:val="0"/>
                <w:i w:val="0"/>
                <w:sz w:val="20"/>
              </w:rPr>
              <w:t>12</w:t>
            </w:r>
          </w:p>
        </w:tc>
      </w:tr>
      <w:tr>
        <w:trPr>
          <w:cantSplit/>
        </w:trPr>
        <w:tc>
          <w:tcPr>
            <w:tcW w:type="dxa" w:w="2556"/>
          </w:tcPr>
          <w:p>
            <w:pPr>
              <w:spacing w:line="240" w:lineRule="auto" w:before="0" w:after="20"/>
            </w:pPr>
            <w:r>
              <w:rPr>
                <w:rFonts w:ascii="Arial" w:hAnsi="Arial"/>
                <w:b w:val="0"/>
                <w:i w:val="0"/>
                <w:sz w:val="20"/>
              </w:rPr>
              <w:t>20</w:t>
            </w:r>
          </w:p>
        </w:tc>
        <w:tc>
          <w:tcPr>
            <w:tcW w:type="dxa" w:w="2556"/>
          </w:tcPr>
          <w:p>
            <w:pPr>
              <w:spacing w:line="240" w:lineRule="auto" w:before="0" w:after="20"/>
            </w:pPr>
            <w:r>
              <w:rPr>
                <w:rFonts w:ascii="Arial" w:hAnsi="Arial"/>
                <w:b w:val="0"/>
                <w:i w:val="0"/>
                <w:sz w:val="20"/>
              </w:rPr>
              <w:t>2</w:t>
            </w:r>
          </w:p>
        </w:tc>
        <w:tc>
          <w:tcPr>
            <w:tcW w:type="dxa" w:w="2556"/>
          </w:tcPr>
          <w:p>
            <w:pPr>
              <w:spacing w:line="240" w:lineRule="auto" w:before="0" w:after="20"/>
            </w:pPr>
            <w:r>
              <w:rPr>
                <w:rFonts w:ascii="Arial" w:hAnsi="Arial"/>
                <w:b w:val="0"/>
                <w:i w:val="0"/>
                <w:sz w:val="20"/>
              </w:rPr>
              <w:t>10</w:t>
            </w:r>
          </w:p>
        </w:tc>
        <w:tc>
          <w:tcPr>
            <w:tcW w:type="dxa" w:w="2556"/>
          </w:tcPr>
          <w:p>
            <w:pPr>
              <w:spacing w:line="240" w:lineRule="auto" w:before="0" w:after="20"/>
            </w:pPr>
            <w:r>
              <w:rPr>
                <w:rFonts w:ascii="Arial" w:hAnsi="Arial"/>
                <w:b w:val="0"/>
                <w:i w:val="0"/>
                <w:sz w:val="20"/>
              </w:rPr>
              <w:t>14</w:t>
            </w:r>
          </w:p>
        </w:tc>
      </w:tr>
      <w:tr>
        <w:trPr>
          <w:cantSplit/>
        </w:trPr>
        <w:tc>
          <w:tcPr>
            <w:tcW w:type="dxa" w:w="2556"/>
          </w:tcPr>
          <w:p>
            <w:pPr>
              <w:spacing w:line="240" w:lineRule="auto" w:before="0" w:after="20"/>
            </w:pPr>
            <w:r>
              <w:rPr>
                <w:rFonts w:ascii="Arial" w:hAnsi="Arial"/>
                <w:b w:val="0"/>
                <w:i w:val="0"/>
                <w:sz w:val="20"/>
              </w:rPr>
              <w:t>24</w:t>
            </w:r>
          </w:p>
        </w:tc>
        <w:tc>
          <w:tcPr>
            <w:tcW w:type="dxa" w:w="2556"/>
          </w:tcPr>
          <w:p>
            <w:pPr>
              <w:spacing w:line="240" w:lineRule="auto" w:before="0" w:after="20"/>
            </w:pPr>
            <w:r>
              <w:rPr>
                <w:rFonts w:ascii="Arial" w:hAnsi="Arial"/>
                <w:b w:val="0"/>
                <w:i w:val="0"/>
                <w:sz w:val="20"/>
              </w:rPr>
              <w:t>0</w:t>
            </w:r>
          </w:p>
        </w:tc>
        <w:tc>
          <w:tcPr>
            <w:tcW w:type="dxa" w:w="2556"/>
          </w:tcPr>
          <w:p>
            <w:pPr>
              <w:spacing w:line="240" w:lineRule="auto" w:before="0" w:after="20"/>
            </w:pPr>
            <w:r>
              <w:rPr>
                <w:rFonts w:ascii="Arial" w:hAnsi="Arial"/>
                <w:b w:val="0"/>
                <w:i w:val="0"/>
                <w:sz w:val="20"/>
              </w:rPr>
              <w:t>12</w:t>
            </w:r>
          </w:p>
        </w:tc>
        <w:tc>
          <w:tcPr>
            <w:tcW w:type="dxa" w:w="2556"/>
          </w:tcPr>
          <w:p>
            <w:pPr>
              <w:spacing w:line="240" w:lineRule="auto" w:before="0" w:after="20"/>
            </w:pPr>
            <w:r>
              <w:rPr>
                <w:rFonts w:ascii="Arial" w:hAnsi="Arial"/>
                <w:b w:val="0"/>
                <w:i w:val="0"/>
                <w:sz w:val="20"/>
              </w:rPr>
              <w:t>16</w:t>
            </w:r>
          </w:p>
        </w:tc>
      </w:tr>
    </w:tbl>
    <w:p>
      <w:pPr/>
      <w:r>
        <w:rPr>
          <w:b w:val="0"/>
          <w:i w:val="0"/>
        </w:rPr>
        <w:t xml:space="preserve">The taxed supply schedule, expressed as the price buyers pay, is </w:t>
      </w:r>
      <w:r>
        <w:rPr>
          <w:b/>
          <w:i w:val="0"/>
        </w:rPr>
        <w:t>P = Q/2 + 4</w:t>
      </w:r>
      <w:r>
        <w:rPr>
          <w:b w:val="0"/>
          <w:i w:val="0"/>
        </w:rPr>
        <w:t>. It is $4 above original S at every quantity. Underlying production costs have not changed; the tax creates the wedge.</w:t>
      </w:r>
    </w:p>
    <w:p>
      <w:pPr/>
      <w:r>
        <w:rPr>
          <w:b/>
          <w:i w:val="0"/>
        </w:rPr>
        <w:t>Common error:</w:t>
      </w:r>
      <w:r>
        <w:rPr>
          <w:b w:val="0"/>
          <w:i w:val="0"/>
        </w:rPr>
        <w:t xml:space="preserve"> Adding $4 to demand or multiplying each supply price by 4. Prompt: "What price must a seller charge to keep the same amount after sending $4 per bottle to government?"</w:t>
      </w:r>
    </w:p>
    <w:p>
      <w:pPr>
        <w:pStyle w:val="Heading2"/>
      </w:pPr>
      <w:r>
        <w:rPr>
          <w:b w:val="0"/>
          <w:i w:val="0"/>
        </w:rPr>
        <w:t>4. Taxed equilibrium, both prices and the wedge</w:t>
      </w:r>
    </w:p>
    <w:p>
      <w:pPr>
        <w:pStyle w:val="ListBullet"/>
      </w:pPr>
      <w:r>
        <w:rPr>
          <w:b w:val="0"/>
          <w:i w:val="0"/>
        </w:rPr>
        <w:t xml:space="preserve">S + tax connects </w:t>
      </w:r>
      <w:r>
        <w:rPr>
          <w:b w:val="0"/>
          <w:i w:val="0"/>
        </w:rPr>
        <w:t>(0,4)</w:t>
      </w:r>
      <w:r>
        <w:rPr>
          <w:b w:val="0"/>
          <w:i w:val="0"/>
        </w:rPr>
        <w:t xml:space="preserve"> and </w:t>
      </w:r>
      <w:r>
        <w:rPr>
          <w:b w:val="0"/>
          <w:i w:val="0"/>
        </w:rPr>
        <w:t>(24,16)</w:t>
      </w:r>
      <w:r>
        <w:rPr>
          <w:b w:val="0"/>
          <w:i w:val="0"/>
        </w:rPr>
        <w:t>.</w:t>
      </w:r>
    </w:p>
    <w:p>
      <w:pPr>
        <w:pStyle w:val="ListBullet"/>
      </w:pPr>
      <w:r>
        <w:rPr>
          <w:b w:val="0"/>
          <w:i w:val="0"/>
        </w:rPr>
        <w:t xml:space="preserve">Its intersection with D is Etax = </w:t>
      </w:r>
      <w:r>
        <w:rPr>
          <w:b w:val="0"/>
          <w:i w:val="0"/>
        </w:rPr>
        <w:t>(8,8)</w:t>
      </w:r>
      <w:r>
        <w:rPr>
          <w:b w:val="0"/>
          <w:i w:val="0"/>
        </w:rPr>
        <w:t xml:space="preserve">. Thus Qt = </w:t>
      </w:r>
      <w:r>
        <w:rPr>
          <w:b/>
          <w:i w:val="0"/>
        </w:rPr>
        <w:t>8 bottles/day</w:t>
      </w:r>
      <w:r>
        <w:rPr>
          <w:b w:val="0"/>
          <w:i w:val="0"/>
        </w:rPr>
        <w:t xml:space="preserve"> and Pb = </w:t>
      </w:r>
      <w:r>
        <w:rPr>
          <w:b/>
          <w:i w:val="0"/>
        </w:rPr>
        <w:t>$8/bottle</w:t>
      </w:r>
      <w:r>
        <w:rPr>
          <w:b w:val="0"/>
          <w:i w:val="0"/>
        </w:rPr>
        <w:t>.</w:t>
      </w:r>
    </w:p>
    <w:p>
      <w:pPr>
        <w:pStyle w:val="ListBullet"/>
      </w:pPr>
      <w:r>
        <w:rPr>
          <w:b w:val="0"/>
          <w:i w:val="0"/>
        </w:rPr>
        <w:t xml:space="preserve">At the same quantity Q = 8, original S gives Ps = </w:t>
      </w:r>
      <w:r>
        <w:rPr>
          <w:b/>
          <w:i w:val="0"/>
        </w:rPr>
        <w:t>$4/bottle</w:t>
      </w:r>
      <w:r>
        <w:rPr>
          <w:b w:val="0"/>
          <w:i w:val="0"/>
        </w:rPr>
        <w:t xml:space="preserve">, at </w:t>
      </w:r>
      <w:r>
        <w:rPr>
          <w:b w:val="0"/>
          <w:i w:val="0"/>
        </w:rPr>
        <w:t>(8,4)</w:t>
      </w:r>
      <w:r>
        <w:rPr>
          <w:b w:val="0"/>
          <w:i w:val="0"/>
        </w:rPr>
        <w:t>.</w:t>
      </w:r>
    </w:p>
    <w:p>
      <w:pPr>
        <w:pStyle w:val="ListBullet"/>
      </w:pPr>
      <w:r>
        <w:rPr>
          <w:b w:val="0"/>
          <w:i w:val="0"/>
        </w:rPr>
        <w:t xml:space="preserve">The vertical wedge joins </w:t>
      </w:r>
      <w:r>
        <w:rPr>
          <w:b w:val="0"/>
          <w:i w:val="0"/>
        </w:rPr>
        <w:t>(8,4)</w:t>
      </w:r>
      <w:r>
        <w:rPr>
          <w:b w:val="0"/>
          <w:i w:val="0"/>
        </w:rPr>
        <w:t xml:space="preserve"> to </w:t>
      </w:r>
      <w:r>
        <w:rPr>
          <w:b w:val="0"/>
          <w:i w:val="0"/>
        </w:rPr>
        <w:t>(8,8)</w:t>
      </w:r>
      <w:r>
        <w:rPr>
          <w:b w:val="0"/>
          <w:i w:val="0"/>
        </w:rPr>
        <w:t xml:space="preserve">. Its height is </w:t>
      </w:r>
      <w:r>
        <w:rPr>
          <w:b w:val="0"/>
          <w:i w:val="0"/>
        </w:rPr>
        <w:t>Pb - Ps = 8 - 4 = $4/bottle</w:t>
      </w:r>
      <w:r>
        <w:rPr>
          <w:b w:val="0"/>
          <w:i w:val="0"/>
        </w:rPr>
        <w:t>.</w:t>
      </w:r>
    </w:p>
    <w:p>
      <w:pPr/>
      <w:r>
        <w:rPr>
          <w:b w:val="0"/>
          <w:i w:val="0"/>
        </w:rPr>
        <w:t xml:space="preserve">An algebraic check is </w:t>
      </w:r>
      <w:r>
        <w:rPr>
          <w:b w:val="0"/>
          <w:i w:val="0"/>
        </w:rPr>
        <w:t>12 - Q/2 = Q/2 + 4</w:t>
      </w:r>
      <w:r>
        <w:rPr>
          <w:b w:val="0"/>
          <w:i w:val="0"/>
        </w:rPr>
        <w:t xml:space="preserve">, so </w:t>
      </w:r>
      <w:r>
        <w:rPr>
          <w:b w:val="0"/>
          <w:i w:val="0"/>
        </w:rPr>
        <w:t>Q = 8</w:t>
      </w:r>
      <w:r>
        <w:rPr>
          <w:b w:val="0"/>
          <w:i w:val="0"/>
        </w:rPr>
        <w:t>. Demand then gives Pb = 8 and original S gives Ps = 4. Sellers collect $8 from the buyer, remit $4 and keep $4 per bottle.</w:t>
      </w:r>
    </w:p>
    <w:p>
      <w:pPr/>
      <w:r>
        <w:rPr>
          <w:b/>
          <w:i w:val="0"/>
        </w:rPr>
        <w:t>Teacher checks:</w:t>
      </w:r>
      <w:r>
        <w:rPr>
          <w:b w:val="0"/>
          <w:i w:val="0"/>
        </w:rPr>
        <w:t xml:space="preserve"> The two prices are measured at the same Qt. Pb lies on D and S + tax; Ps lies on original S. The wedge is vertical, not horizontal. The original E0 remains marked for comparison.</w:t>
      </w:r>
    </w:p>
    <w:p>
      <w:pPr/>
      <w:r>
        <w:rPr>
          <w:b/>
          <w:i w:val="0"/>
        </w:rPr>
        <w:t>Common errors:</w:t>
      </w:r>
      <w:r>
        <w:rPr>
          <w:b w:val="0"/>
          <w:i w:val="0"/>
        </w:rPr>
        <w:t xml:space="preserve"> Keeping Q = 12 after the tax; labeling both after-tax prices $8; locating Ps on S + tax. Prompt: "At the new quantity, how much does the buyer pay and how much does the seller keep?"</w:t>
      </w:r>
    </w:p>
    <w:p>
      <w:pPr>
        <w:jc w:val="center"/>
      </w:pPr>
      <w:r>
        <w:drawing>
          <wp:inline xmlns:a="http://schemas.openxmlformats.org/drawingml/2006/main" xmlns:pic="http://schemas.openxmlformats.org/drawingml/2006/picture">
            <wp:extent cx="4978399" cy="3200400"/>
            <wp:docPr id="1" name="Picture 1" descr="Worked tax-market graph with both prices and the tax wedge"/>
            <wp:cNvGraphicFramePr>
              <a:graphicFrameLocks noChangeAspect="1"/>
            </wp:cNvGraphicFramePr>
            <a:graphic>
              <a:graphicData uri="http://schemas.openxmlformats.org/drawingml/2006/picture">
                <pic:pic>
                  <pic:nvPicPr>
                    <pic:cNvPr id="0" name="tax.png"/>
                    <pic:cNvPicPr/>
                  </pic:nvPicPr>
                  <pic:blipFill>
                    <a:blip r:embed="rId9"/>
                    <a:stretch>
                      <a:fillRect/>
                    </a:stretch>
                  </pic:blipFill>
                  <pic:spPr>
                    <a:xfrm>
                      <a:off x="0" y="0"/>
                      <a:ext cx="4978399" cy="3200400"/>
                    </a:xfrm>
                    <a:prstGeom prst="rect"/>
                  </pic:spPr>
                </pic:pic>
              </a:graphicData>
            </a:graphic>
          </wp:inline>
        </w:drawing>
      </w:r>
    </w:p>
    <w:p>
      <w:pPr>
        <w:pStyle w:val="Heading2"/>
      </w:pPr>
      <w:r>
        <w:rPr>
          <w:b w:val="0"/>
          <w:i w:val="0"/>
        </w:rPr>
        <w:t>5. Before/after accounting and economic incidence</w:t>
      </w:r>
    </w:p>
    <w:p>
      <w:pPr/>
      <w:r>
        <w:rPr>
          <w:b w:val="0"/>
          <w:i w:val="0"/>
        </w:rPr>
        <w:t>The first three rows answer the student accounting table. The last three rows are optional instructor cash checks, not extra required student calculations.</w:t>
      </w:r>
    </w:p>
    <w:tbl>
      <w:tblPr>
        <w:tblStyle w:val="TableGrid"/>
        <w:tblW w:type="dxa" w:w="10224"/>
        <w:jc w:val="left"/>
        <w:tblLayout w:type="fixed"/>
        <w:tblLook w:firstColumn="1" w:firstRow="1" w:lastColumn="0" w:lastRow="0" w:noHBand="0" w:noVBand="1" w:val="04A0"/>
        <w:tblInd w:type="dxa" w:w="0"/>
        <w:tblBorders>
          <w:top w:val="single" w:sz="4" w:color="94A0AF"/>
          <w:left w:val="single" w:sz="4" w:color="94A0AF"/>
          <w:bottom w:val="single" w:sz="4" w:color="94A0AF"/>
          <w:right w:val="single" w:sz="4" w:color="94A0AF"/>
          <w:insideH w:val="single" w:sz="4" w:color="94A0AF"/>
          <w:insideV w:val="single" w:sz="4" w:color="94A0AF"/>
        </w:tblBorders>
      </w:tblPr>
      <w:tblGrid>
        <w:gridCol w:w="3408"/>
        <w:gridCol w:w="3408"/>
        <w:gridCol w:w="3408"/>
      </w:tblGrid>
      <w:tr>
        <w:trPr>
          <w:tblHeader w:val="true"/>
          <w:cantSplit/>
        </w:trPr>
        <w:tc>
          <w:tcPr>
            <w:tcW w:type="dxa" w:w="3408"/>
          </w:tcPr>
          <w:p>
            <w:pPr>
              <w:spacing w:line="240" w:lineRule="auto" w:before="0" w:after="20"/>
            </w:pPr>
            <w:r>
              <w:rPr>
                <w:rFonts w:ascii="Arial" w:hAnsi="Arial"/>
                <w:b/>
                <w:i w:val="0"/>
                <w:sz w:val="20"/>
              </w:rPr>
              <w:t>Accounting item</w:t>
            </w:r>
          </w:p>
        </w:tc>
        <w:tc>
          <w:tcPr>
            <w:tcW w:type="dxa" w:w="3408"/>
          </w:tcPr>
          <w:p>
            <w:pPr>
              <w:spacing w:line="240" w:lineRule="auto" w:before="0" w:after="20"/>
            </w:pPr>
            <w:r>
              <w:rPr>
                <w:rFonts w:ascii="Arial" w:hAnsi="Arial"/>
                <w:b/>
                <w:i w:val="0"/>
                <w:sz w:val="20"/>
              </w:rPr>
              <w:t>Before tax</w:t>
            </w:r>
          </w:p>
        </w:tc>
        <w:tc>
          <w:tcPr>
            <w:tcW w:type="dxa" w:w="3408"/>
          </w:tcPr>
          <w:p>
            <w:pPr>
              <w:spacing w:line="240" w:lineRule="auto" w:before="0" w:after="20"/>
            </w:pPr>
            <w:r>
              <w:rPr>
                <w:rFonts w:ascii="Arial" w:hAnsi="Arial"/>
                <w:b/>
                <w:i w:val="0"/>
                <w:sz w:val="20"/>
              </w:rPr>
              <w:t>After tax</w:t>
            </w:r>
          </w:p>
        </w:tc>
      </w:tr>
      <w:tr>
        <w:trPr>
          <w:cantSplit/>
        </w:trPr>
        <w:tc>
          <w:tcPr>
            <w:tcW w:type="dxa" w:w="3408"/>
          </w:tcPr>
          <w:p>
            <w:pPr>
              <w:spacing w:line="240" w:lineRule="auto" w:before="0" w:after="20"/>
            </w:pPr>
            <w:r>
              <w:rPr>
                <w:rFonts w:ascii="Arial" w:hAnsi="Arial"/>
                <w:b w:val="0"/>
                <w:i w:val="0"/>
                <w:sz w:val="20"/>
              </w:rPr>
              <w:t>Quantity, bottles/day</w:t>
            </w:r>
          </w:p>
        </w:tc>
        <w:tc>
          <w:tcPr>
            <w:tcW w:type="dxa" w:w="3408"/>
          </w:tcPr>
          <w:p>
            <w:pPr>
              <w:spacing w:line="240" w:lineRule="auto" w:before="0" w:after="20"/>
            </w:pPr>
            <w:r>
              <w:rPr>
                <w:rFonts w:ascii="Arial" w:hAnsi="Arial"/>
                <w:b w:val="0"/>
                <w:i w:val="0"/>
                <w:sz w:val="20"/>
              </w:rPr>
              <w:t>12</w:t>
            </w:r>
          </w:p>
        </w:tc>
        <w:tc>
          <w:tcPr>
            <w:tcW w:type="dxa" w:w="3408"/>
          </w:tcPr>
          <w:p>
            <w:pPr>
              <w:spacing w:line="240" w:lineRule="auto" w:before="0" w:after="20"/>
            </w:pPr>
            <w:r>
              <w:rPr>
                <w:rFonts w:ascii="Arial" w:hAnsi="Arial"/>
                <w:b w:val="0"/>
                <w:i w:val="0"/>
                <w:sz w:val="20"/>
              </w:rPr>
              <w:t>8</w:t>
            </w:r>
          </w:p>
        </w:tc>
      </w:tr>
      <w:tr>
        <w:trPr>
          <w:cantSplit/>
        </w:trPr>
        <w:tc>
          <w:tcPr>
            <w:tcW w:type="dxa" w:w="3408"/>
          </w:tcPr>
          <w:p>
            <w:pPr>
              <w:spacing w:line="240" w:lineRule="auto" w:before="0" w:after="20"/>
            </w:pPr>
            <w:r>
              <w:rPr>
                <w:rFonts w:ascii="Arial" w:hAnsi="Arial"/>
                <w:b w:val="0"/>
                <w:i w:val="0"/>
                <w:sz w:val="20"/>
              </w:rPr>
              <w:t>Buyer price, $/bottle</w:t>
            </w:r>
          </w:p>
        </w:tc>
        <w:tc>
          <w:tcPr>
            <w:tcW w:type="dxa" w:w="3408"/>
          </w:tcPr>
          <w:p>
            <w:pPr>
              <w:spacing w:line="240" w:lineRule="auto" w:before="0" w:after="20"/>
            </w:pPr>
            <w:r>
              <w:rPr>
                <w:rFonts w:ascii="Arial" w:hAnsi="Arial"/>
                <w:b w:val="0"/>
                <w:i w:val="0"/>
                <w:sz w:val="20"/>
              </w:rPr>
              <w:t>6</w:t>
            </w:r>
          </w:p>
        </w:tc>
        <w:tc>
          <w:tcPr>
            <w:tcW w:type="dxa" w:w="3408"/>
          </w:tcPr>
          <w:p>
            <w:pPr>
              <w:spacing w:line="240" w:lineRule="auto" w:before="0" w:after="20"/>
            </w:pPr>
            <w:r>
              <w:rPr>
                <w:rFonts w:ascii="Arial" w:hAnsi="Arial"/>
                <w:b w:val="0"/>
                <w:i w:val="0"/>
                <w:sz w:val="20"/>
              </w:rPr>
              <w:t>8</w:t>
            </w:r>
          </w:p>
        </w:tc>
      </w:tr>
      <w:tr>
        <w:trPr>
          <w:cantSplit/>
        </w:trPr>
        <w:tc>
          <w:tcPr>
            <w:tcW w:type="dxa" w:w="3408"/>
          </w:tcPr>
          <w:p>
            <w:pPr>
              <w:spacing w:line="240" w:lineRule="auto" w:before="0" w:after="20"/>
            </w:pPr>
            <w:r>
              <w:rPr>
                <w:rFonts w:ascii="Arial" w:hAnsi="Arial"/>
                <w:b w:val="0"/>
                <w:i w:val="0"/>
                <w:sz w:val="20"/>
              </w:rPr>
              <w:t>Seller retained receipt, $/bottle</w:t>
            </w:r>
          </w:p>
        </w:tc>
        <w:tc>
          <w:tcPr>
            <w:tcW w:type="dxa" w:w="3408"/>
          </w:tcPr>
          <w:p>
            <w:pPr>
              <w:spacing w:line="240" w:lineRule="auto" w:before="0" w:after="20"/>
            </w:pPr>
            <w:r>
              <w:rPr>
                <w:rFonts w:ascii="Arial" w:hAnsi="Arial"/>
                <w:b w:val="0"/>
                <w:i w:val="0"/>
                <w:sz w:val="20"/>
              </w:rPr>
              <w:t>6</w:t>
            </w:r>
          </w:p>
        </w:tc>
        <w:tc>
          <w:tcPr>
            <w:tcW w:type="dxa" w:w="3408"/>
          </w:tcPr>
          <w:p>
            <w:pPr>
              <w:spacing w:line="240" w:lineRule="auto" w:before="0" w:after="20"/>
            </w:pPr>
            <w:r>
              <w:rPr>
                <w:rFonts w:ascii="Arial" w:hAnsi="Arial"/>
                <w:b w:val="0"/>
                <w:i w:val="0"/>
                <w:sz w:val="20"/>
              </w:rPr>
              <w:t>4</w:t>
            </w:r>
          </w:p>
        </w:tc>
      </w:tr>
      <w:tr>
        <w:trPr>
          <w:cantSplit/>
        </w:trPr>
        <w:tc>
          <w:tcPr>
            <w:tcW w:type="dxa" w:w="3408"/>
          </w:tcPr>
          <w:p>
            <w:pPr>
              <w:spacing w:line="240" w:lineRule="auto" w:before="0" w:after="20"/>
            </w:pPr>
            <w:r>
              <w:rPr>
                <w:rFonts w:ascii="Arial" w:hAnsi="Arial"/>
                <w:b w:val="0"/>
                <w:i w:val="0"/>
                <w:sz w:val="20"/>
              </w:rPr>
              <w:t>Buyers' spending, dollars/day</w:t>
            </w:r>
          </w:p>
        </w:tc>
        <w:tc>
          <w:tcPr>
            <w:tcW w:type="dxa" w:w="3408"/>
          </w:tcPr>
          <w:p>
            <w:pPr>
              <w:spacing w:line="240" w:lineRule="auto" w:before="0" w:after="20"/>
            </w:pPr>
            <w:r>
              <w:rPr>
                <w:rFonts w:ascii="Arial" w:hAnsi="Arial"/>
                <w:b w:val="0"/>
                <w:i w:val="0"/>
                <w:sz w:val="20"/>
              </w:rPr>
              <w:t>6 × 12 = 72</w:t>
            </w:r>
          </w:p>
        </w:tc>
        <w:tc>
          <w:tcPr>
            <w:tcW w:type="dxa" w:w="3408"/>
          </w:tcPr>
          <w:p>
            <w:pPr>
              <w:spacing w:line="240" w:lineRule="auto" w:before="0" w:after="20"/>
            </w:pPr>
            <w:r>
              <w:rPr>
                <w:rFonts w:ascii="Arial" w:hAnsi="Arial"/>
                <w:b w:val="0"/>
                <w:i w:val="0"/>
                <w:sz w:val="20"/>
              </w:rPr>
              <w:t>8 × 8 = 64</w:t>
            </w:r>
          </w:p>
        </w:tc>
      </w:tr>
      <w:tr>
        <w:trPr>
          <w:cantSplit/>
        </w:trPr>
        <w:tc>
          <w:tcPr>
            <w:tcW w:type="dxa" w:w="3408"/>
          </w:tcPr>
          <w:p>
            <w:pPr>
              <w:spacing w:line="240" w:lineRule="auto" w:before="0" w:after="20"/>
            </w:pPr>
            <w:r>
              <w:rPr>
                <w:rFonts w:ascii="Arial" w:hAnsi="Arial"/>
                <w:b w:val="0"/>
                <w:i w:val="0"/>
                <w:sz w:val="20"/>
              </w:rPr>
              <w:t>Sellers' retained receipts, dollars/day</w:t>
            </w:r>
          </w:p>
        </w:tc>
        <w:tc>
          <w:tcPr>
            <w:tcW w:type="dxa" w:w="3408"/>
          </w:tcPr>
          <w:p>
            <w:pPr>
              <w:spacing w:line="240" w:lineRule="auto" w:before="0" w:after="20"/>
            </w:pPr>
            <w:r>
              <w:rPr>
                <w:rFonts w:ascii="Arial" w:hAnsi="Arial"/>
                <w:b w:val="0"/>
                <w:i w:val="0"/>
                <w:sz w:val="20"/>
              </w:rPr>
              <w:t>6 × 12 = 72</w:t>
            </w:r>
          </w:p>
        </w:tc>
        <w:tc>
          <w:tcPr>
            <w:tcW w:type="dxa" w:w="3408"/>
          </w:tcPr>
          <w:p>
            <w:pPr>
              <w:spacing w:line="240" w:lineRule="auto" w:before="0" w:after="20"/>
            </w:pPr>
            <w:r>
              <w:rPr>
                <w:rFonts w:ascii="Arial" w:hAnsi="Arial"/>
                <w:b w:val="0"/>
                <w:i w:val="0"/>
                <w:sz w:val="20"/>
              </w:rPr>
              <w:t>4 × 8 = 32</w:t>
            </w:r>
          </w:p>
        </w:tc>
      </w:tr>
      <w:tr>
        <w:trPr>
          <w:cantSplit/>
        </w:trPr>
        <w:tc>
          <w:tcPr>
            <w:tcW w:type="dxa" w:w="3408"/>
          </w:tcPr>
          <w:p>
            <w:pPr>
              <w:spacing w:line="240" w:lineRule="auto" w:before="0" w:after="20"/>
            </w:pPr>
            <w:r>
              <w:rPr>
                <w:rFonts w:ascii="Arial" w:hAnsi="Arial"/>
                <w:b w:val="0"/>
                <w:i w:val="0"/>
                <w:sz w:val="20"/>
              </w:rPr>
              <w:t>Government tax revenue, dollars/day</w:t>
            </w:r>
          </w:p>
        </w:tc>
        <w:tc>
          <w:tcPr>
            <w:tcW w:type="dxa" w:w="3408"/>
          </w:tcPr>
          <w:p>
            <w:pPr>
              <w:spacing w:line="240" w:lineRule="auto" w:before="0" w:after="20"/>
            </w:pPr>
            <w:r>
              <w:rPr>
                <w:rFonts w:ascii="Arial" w:hAnsi="Arial"/>
                <w:b w:val="0"/>
                <w:i w:val="0"/>
                <w:sz w:val="20"/>
              </w:rPr>
              <w:t>0</w:t>
            </w:r>
          </w:p>
        </w:tc>
        <w:tc>
          <w:tcPr>
            <w:tcW w:type="dxa" w:w="3408"/>
          </w:tcPr>
          <w:p>
            <w:pPr>
              <w:spacing w:line="240" w:lineRule="auto" w:before="0" w:after="20"/>
            </w:pPr>
            <w:r>
              <w:rPr>
                <w:rFonts w:ascii="Arial" w:hAnsi="Arial"/>
                <w:b w:val="0"/>
                <w:i w:val="0"/>
                <w:sz w:val="20"/>
              </w:rPr>
              <w:t>4 × 8 = 32</w:t>
            </w:r>
          </w:p>
        </w:tc>
      </w:tr>
    </w:tbl>
    <w:p>
      <w:pPr/>
      <w:r>
        <w:rPr>
          <w:b/>
          <w:i w:val="0"/>
        </w:rPr>
        <w:t>Buyer incidence:</w:t>
      </w:r>
      <w:r>
        <w:rPr>
          <w:b w:val="0"/>
          <w:i w:val="0"/>
        </w:rPr>
        <w:t xml:space="preserve"> </w:t>
      </w:r>
      <w:r>
        <w:rPr>
          <w:b w:val="0"/>
          <w:i w:val="0"/>
        </w:rPr>
        <w:t>Pb - P0 = 8 - 6 = $2/bottle</w:t>
      </w:r>
      <w:r>
        <w:rPr>
          <w:b w:val="0"/>
          <w:i w:val="0"/>
        </w:rPr>
        <w:t xml:space="preserve">. On the 8 bottles still traded, </w:t>
      </w:r>
      <w:r>
        <w:rPr>
          <w:b w:val="0"/>
          <w:i w:val="0"/>
        </w:rPr>
        <w:t>2 × 8 = $16/day</w:t>
      </w:r>
      <w:r>
        <w:rPr>
          <w:b w:val="0"/>
          <w:i w:val="0"/>
        </w:rPr>
        <w:t xml:space="preserve">. Share of the tax: </w:t>
      </w:r>
      <w:r>
        <w:rPr>
          <w:b w:val="0"/>
          <w:i w:val="0"/>
        </w:rPr>
        <w:t>2/4 × 100 = 50%</w:t>
      </w:r>
      <w:r>
        <w:rPr>
          <w:b w:val="0"/>
          <w:i w:val="0"/>
        </w:rPr>
        <w:t>.</w:t>
      </w:r>
    </w:p>
    <w:p>
      <w:pPr/>
      <w:r>
        <w:rPr>
          <w:b/>
          <w:i w:val="0"/>
        </w:rPr>
        <w:t>Seller incidence:</w:t>
      </w:r>
      <w:r>
        <w:rPr>
          <w:b w:val="0"/>
          <w:i w:val="0"/>
        </w:rPr>
        <w:t xml:space="preserve"> </w:t>
      </w:r>
      <w:r>
        <w:rPr>
          <w:b w:val="0"/>
          <w:i w:val="0"/>
        </w:rPr>
        <w:t>P0 - Ps = 6 - 4 = $2/bottle</w:t>
      </w:r>
      <w:r>
        <w:rPr>
          <w:b w:val="0"/>
          <w:i w:val="0"/>
        </w:rPr>
        <w:t xml:space="preserve">. On the 8 bottles still traded, </w:t>
      </w:r>
      <w:r>
        <w:rPr>
          <w:b w:val="0"/>
          <w:i w:val="0"/>
        </w:rPr>
        <w:t>2 × 8 = $16/day</w:t>
      </w:r>
      <w:r>
        <w:rPr>
          <w:b w:val="0"/>
          <w:i w:val="0"/>
        </w:rPr>
        <w:t xml:space="preserve">. Share of the tax: </w:t>
      </w:r>
      <w:r>
        <w:rPr>
          <w:b w:val="0"/>
          <w:i w:val="0"/>
        </w:rPr>
        <w:t>2/4 × 100 = 50%</w:t>
      </w:r>
      <w:r>
        <w:rPr>
          <w:b w:val="0"/>
          <w:i w:val="0"/>
        </w:rPr>
        <w:t>.</w:t>
      </w:r>
    </w:p>
    <w:p>
      <w:pPr/>
      <w:r>
        <w:rPr>
          <w:b w:val="0"/>
          <w:i w:val="0"/>
        </w:rPr>
        <w:t xml:space="preserve">Checks: </w:t>
      </w:r>
      <w:r>
        <w:rPr>
          <w:b w:val="0"/>
          <w:i w:val="0"/>
        </w:rPr>
        <w:t>$2 + $2 = $4/bottle</w:t>
      </w:r>
      <w:r>
        <w:rPr>
          <w:b w:val="0"/>
          <w:i w:val="0"/>
        </w:rPr>
        <w:t xml:space="preserve">; </w:t>
      </w:r>
      <w:r>
        <w:rPr>
          <w:b w:val="0"/>
          <w:i w:val="0"/>
        </w:rPr>
        <w:t>$16 + $16 = $32/day</w:t>
      </w:r>
      <w:r>
        <w:rPr>
          <w:b w:val="0"/>
          <w:i w:val="0"/>
        </w:rPr>
        <w:t xml:space="preserve">; </w:t>
      </w:r>
      <w:r>
        <w:rPr>
          <w:b w:val="0"/>
          <w:i w:val="0"/>
        </w:rPr>
        <w:t>50% + 50% = 100%</w:t>
      </w:r>
      <w:r>
        <w:rPr>
          <w:b w:val="0"/>
          <w:i w:val="0"/>
        </w:rPr>
        <w:t xml:space="preserve">. After-tax buyers' spending equals seller retained receipts plus government revenue: </w:t>
      </w:r>
      <w:r>
        <w:rPr>
          <w:b w:val="0"/>
          <w:i w:val="0"/>
        </w:rPr>
        <w:t>$64 = $32 + $32</w:t>
      </w:r>
      <w:r>
        <w:rPr>
          <w:b w:val="0"/>
          <w:i w:val="0"/>
        </w:rPr>
        <w:t>.</w:t>
      </w:r>
    </w:p>
    <w:p>
      <w:pPr/>
      <w:r>
        <w:rPr>
          <w:b/>
          <w:i w:val="0"/>
        </w:rPr>
        <w:t>Teacher distinction:</w:t>
      </w:r>
      <w:r>
        <w:rPr>
          <w:b w:val="0"/>
          <w:i w:val="0"/>
        </w:rPr>
        <w:t xml:space="preserve"> The $16 figures measure each side's tax burden on the bottles that still trade. They are not each side's entire welfare loss. Also, retained receipts are not profit or producer surplus. Buyers' total spending falls here because fewer bottles trade; that does not mean buyers benefit from the tax.</w:t>
      </w:r>
    </w:p>
    <w:p>
      <w:pPr/>
      <w:r>
        <w:rPr>
          <w:b/>
          <w:i w:val="0"/>
        </w:rPr>
        <w:t>Common errors:</w:t>
      </w:r>
      <w:r>
        <w:rPr>
          <w:b w:val="0"/>
          <w:i w:val="0"/>
        </w:rPr>
        <w:t xml:space="preserve"> Multiplying the per-bottle burden by the old quantity of 12; calling $4 the buyer's burden; reporting 2% rather than 50%. Prompt: "Compared with the old $6 price, what changed for each side, and how many bottles still trade?"</w:t>
      </w:r>
    </w:p>
    <w:p>
      <w:pPr>
        <w:pStyle w:val="Heading2"/>
      </w:pPr>
      <w:r>
        <w:rPr>
          <w:b w:val="0"/>
          <w:i w:val="0"/>
        </w:rPr>
        <w:t>6. Government revenue, lost trades and deadweight loss</w:t>
      </w:r>
    </w:p>
    <w:p>
      <w:pPr/>
      <w:r>
        <w:rPr>
          <w:b/>
          <w:i w:val="0"/>
        </w:rPr>
        <w:t>Revenue rectangle:</w:t>
      </w:r>
      <w:r>
        <w:rPr>
          <w:b w:val="0"/>
          <w:i w:val="0"/>
        </w:rPr>
        <w:t xml:space="preserve"> vertices </w:t>
      </w:r>
      <w:r>
        <w:rPr>
          <w:b w:val="0"/>
          <w:i w:val="0"/>
        </w:rPr>
        <w:t>(0,4)</w:t>
      </w:r>
      <w:r>
        <w:rPr>
          <w:b w:val="0"/>
          <w:i w:val="0"/>
        </w:rPr>
        <w:t xml:space="preserve">, </w:t>
      </w:r>
      <w:r>
        <w:rPr>
          <w:b w:val="0"/>
          <w:i w:val="0"/>
        </w:rPr>
        <w:t>(8,4)</w:t>
      </w:r>
      <w:r>
        <w:rPr>
          <w:b w:val="0"/>
          <w:i w:val="0"/>
        </w:rPr>
        <w:t xml:space="preserve">, </w:t>
      </w:r>
      <w:r>
        <w:rPr>
          <w:b w:val="0"/>
          <w:i w:val="0"/>
        </w:rPr>
        <w:t>(8,8)</w:t>
      </w:r>
      <w:r>
        <w:rPr>
          <w:b w:val="0"/>
          <w:i w:val="0"/>
        </w:rPr>
        <w:t xml:space="preserve">, </w:t>
      </w:r>
      <w:r>
        <w:rPr>
          <w:b w:val="0"/>
          <w:i w:val="0"/>
        </w:rPr>
        <w:t>(0,8)</w:t>
      </w:r>
      <w:r>
        <w:rPr>
          <w:b w:val="0"/>
          <w:i w:val="0"/>
        </w:rPr>
        <w:t xml:space="preserve">. Height = $4/bottle; width = 8 bottles/day. Government revenue is </w:t>
      </w:r>
      <w:r>
        <w:rPr>
          <w:b w:val="0"/>
          <w:i w:val="0"/>
        </w:rPr>
        <w:t>4 × 8 = $32/day</w:t>
      </w:r>
      <w:r>
        <w:rPr>
          <w:b w:val="0"/>
          <w:i w:val="0"/>
        </w:rPr>
        <w:t>.</w:t>
      </w:r>
    </w:p>
    <w:p>
      <w:pPr/>
      <w:r>
        <w:rPr>
          <w:b/>
          <w:i w:val="0"/>
        </w:rPr>
        <w:t>Deadweight-loss triangle:</w:t>
      </w:r>
      <w:r>
        <w:rPr>
          <w:b w:val="0"/>
          <w:i w:val="0"/>
        </w:rPr>
        <w:t xml:space="preserve"> vertices </w:t>
      </w:r>
      <w:r>
        <w:rPr>
          <w:b w:val="0"/>
          <w:i w:val="0"/>
        </w:rPr>
        <w:t>(8,4)</w:t>
      </w:r>
      <w:r>
        <w:rPr>
          <w:b w:val="0"/>
          <w:i w:val="0"/>
        </w:rPr>
        <w:t xml:space="preserve">, </w:t>
      </w:r>
      <w:r>
        <w:rPr>
          <w:b w:val="0"/>
          <w:i w:val="0"/>
        </w:rPr>
        <w:t>(8,8)</w:t>
      </w:r>
      <w:r>
        <w:rPr>
          <w:b w:val="0"/>
          <w:i w:val="0"/>
        </w:rPr>
        <w:t xml:space="preserve">, </w:t>
      </w:r>
      <w:r>
        <w:rPr>
          <w:b w:val="0"/>
          <w:i w:val="0"/>
        </w:rPr>
        <w:t>(12,6)</w:t>
      </w:r>
      <w:r>
        <w:rPr>
          <w:b w:val="0"/>
          <w:i w:val="0"/>
        </w:rPr>
        <w:t xml:space="preserve">. Vertical base = $4/bottle; horizontal height = </w:t>
      </w:r>
      <w:r>
        <w:rPr>
          <w:b w:val="0"/>
          <w:i w:val="0"/>
        </w:rPr>
        <w:t>12 - 8 = 4 bottles/day</w:t>
      </w:r>
      <w:r>
        <w:rPr>
          <w:b w:val="0"/>
          <w:i w:val="0"/>
        </w:rPr>
        <w:t xml:space="preserve">. Deadweight loss is </w:t>
      </w:r>
      <w:r>
        <w:rPr>
          <w:b w:val="0"/>
          <w:i w:val="0"/>
        </w:rPr>
        <w:t>1/2 × 4 × 4 = $8/day</w:t>
      </w:r>
      <w:r>
        <w:rPr>
          <w:b w:val="0"/>
          <w:i w:val="0"/>
        </w:rPr>
        <w:t>.</w:t>
      </w:r>
    </w:p>
    <w:p>
      <w:pPr/>
      <w:r>
        <w:rPr>
          <w:b w:val="0"/>
          <w:i w:val="0"/>
        </w:rPr>
        <w:t xml:space="preserve">Quantity falls because the tax separates what the buyer pays from what the seller keeps. The additional transactions between Qt = 8 and Q0 = 12 would have generated gains from trade without the tax, but their willingness-to-pay minus supply-price gap is too small to cover the $4 wedge. The lost quantity is </w:t>
      </w:r>
      <w:r>
        <w:rPr>
          <w:b/>
          <w:i w:val="0"/>
        </w:rPr>
        <w:t>4 bottles/day</w:t>
      </w:r>
      <w:r>
        <w:rPr>
          <w:b w:val="0"/>
          <w:i w:val="0"/>
        </w:rPr>
        <w:t>, represented by the quantity interval from 8 to 12. The original marginal trade at Q0 has zero net gain in the graph.</w:t>
      </w:r>
    </w:p>
    <w:p>
      <w:pPr/>
      <w:r>
        <w:rPr>
          <w:b/>
          <w:i w:val="0"/>
        </w:rPr>
        <w:t>Continuous-model note:</w:t>
      </w:r>
      <w:r>
        <w:rPr>
          <w:b w:val="0"/>
          <w:i w:val="0"/>
        </w:rPr>
        <w:t xml:space="preserve"> Treat these linear schedules as continuous for the graph and area calculation. "Four foregone trades" means four fewer bottles per day, not four table rows or four discrete bids valued at integer endpoints. Do not sum the endpoint values at Q = 9, 10, 11 and 12 to replace the stipulated triangle area.</w:t>
      </w:r>
    </w:p>
    <w:p>
      <w:pPr/>
      <w:r>
        <w:rPr>
          <w:b/>
          <w:i w:val="0"/>
        </w:rPr>
        <w:t>Why the rectangle and triangle have different economic meanings:</w:t>
      </w:r>
      <w:r>
        <w:rPr>
          <w:b w:val="0"/>
          <w:i w:val="0"/>
        </w:rPr>
        <w:t xml:space="preserve"> Government revenue is transferred from market participants to government; it is not the deadweight loss in this no-externality model. The triangle measures surplus lost on the transactions that no longer occur.</w:t>
      </w:r>
    </w:p>
    <w:p>
      <w:pPr/>
      <w:r>
        <w:rPr>
          <w:b/>
          <w:i w:val="0"/>
        </w:rPr>
        <w:t>Optional teacher welfare check, not another timed student task:</w:t>
      </w:r>
    </w:p>
    <w:tbl>
      <w:tblPr>
        <w:tblStyle w:val="TableGrid"/>
        <w:tblW w:type="dxa" w:w="10224"/>
        <w:jc w:val="left"/>
        <w:tblLayout w:type="fixed"/>
        <w:tblLook w:firstColumn="1" w:firstRow="1" w:lastColumn="0" w:lastRow="0" w:noHBand="0" w:noVBand="1" w:val="04A0"/>
        <w:tblInd w:type="dxa" w:w="0"/>
        <w:tblBorders>
          <w:top w:val="single" w:sz="4" w:color="94A0AF"/>
          <w:left w:val="single" w:sz="4" w:color="94A0AF"/>
          <w:bottom w:val="single" w:sz="4" w:color="94A0AF"/>
          <w:right w:val="single" w:sz="4" w:color="94A0AF"/>
          <w:insideH w:val="single" w:sz="4" w:color="94A0AF"/>
          <w:insideV w:val="single" w:sz="4" w:color="94A0AF"/>
        </w:tblBorders>
      </w:tblPr>
      <w:tblGrid>
        <w:gridCol w:w="3408"/>
        <w:gridCol w:w="3408"/>
        <w:gridCol w:w="3408"/>
      </w:tblGrid>
      <w:tr>
        <w:trPr>
          <w:tblHeader w:val="true"/>
          <w:cantSplit/>
        </w:trPr>
        <w:tc>
          <w:tcPr>
            <w:tcW w:type="dxa" w:w="3408"/>
          </w:tcPr>
          <w:p>
            <w:pPr>
              <w:spacing w:line="240" w:lineRule="auto" w:before="0" w:after="20"/>
            </w:pPr>
            <w:r>
              <w:rPr>
                <w:rFonts w:ascii="Arial" w:hAnsi="Arial"/>
                <w:b/>
                <w:i w:val="0"/>
                <w:sz w:val="20"/>
              </w:rPr>
              <w:t>Surplus, dollars/day</w:t>
            </w:r>
          </w:p>
        </w:tc>
        <w:tc>
          <w:tcPr>
            <w:tcW w:type="dxa" w:w="3408"/>
          </w:tcPr>
          <w:p>
            <w:pPr>
              <w:spacing w:line="240" w:lineRule="auto" w:before="0" w:after="20"/>
            </w:pPr>
            <w:r>
              <w:rPr>
                <w:rFonts w:ascii="Arial" w:hAnsi="Arial"/>
                <w:b/>
                <w:i w:val="0"/>
                <w:sz w:val="20"/>
              </w:rPr>
              <w:t>Before tax</w:t>
            </w:r>
          </w:p>
        </w:tc>
        <w:tc>
          <w:tcPr>
            <w:tcW w:type="dxa" w:w="3408"/>
          </w:tcPr>
          <w:p>
            <w:pPr>
              <w:spacing w:line="240" w:lineRule="auto" w:before="0" w:after="20"/>
            </w:pPr>
            <w:r>
              <w:rPr>
                <w:rFonts w:ascii="Arial" w:hAnsi="Arial"/>
                <w:b/>
                <w:i w:val="0"/>
                <w:sz w:val="20"/>
              </w:rPr>
              <w:t>After tax</w:t>
            </w:r>
          </w:p>
        </w:tc>
      </w:tr>
      <w:tr>
        <w:trPr>
          <w:cantSplit/>
        </w:trPr>
        <w:tc>
          <w:tcPr>
            <w:tcW w:type="dxa" w:w="3408"/>
          </w:tcPr>
          <w:p>
            <w:pPr>
              <w:spacing w:line="240" w:lineRule="auto" w:before="0" w:after="20"/>
            </w:pPr>
            <w:r>
              <w:rPr>
                <w:rFonts w:ascii="Arial" w:hAnsi="Arial"/>
                <w:b w:val="0"/>
                <w:i w:val="0"/>
                <w:sz w:val="20"/>
              </w:rPr>
              <w:t>Consumer surplus</w:t>
            </w:r>
          </w:p>
        </w:tc>
        <w:tc>
          <w:tcPr>
            <w:tcW w:type="dxa" w:w="3408"/>
          </w:tcPr>
          <w:p>
            <w:pPr>
              <w:spacing w:line="240" w:lineRule="auto" w:before="0" w:after="20"/>
            </w:pPr>
            <w:r>
              <w:rPr>
                <w:rFonts w:ascii="Arial" w:hAnsi="Arial"/>
                <w:b w:val="0"/>
                <w:i w:val="0"/>
                <w:sz w:val="20"/>
              </w:rPr>
              <w:t>1/2 × 12 × (12 - 6) = 36</w:t>
            </w:r>
          </w:p>
        </w:tc>
        <w:tc>
          <w:tcPr>
            <w:tcW w:type="dxa" w:w="3408"/>
          </w:tcPr>
          <w:p>
            <w:pPr>
              <w:spacing w:line="240" w:lineRule="auto" w:before="0" w:after="20"/>
            </w:pPr>
            <w:r>
              <w:rPr>
                <w:rFonts w:ascii="Arial" w:hAnsi="Arial"/>
                <w:b w:val="0"/>
                <w:i w:val="0"/>
                <w:sz w:val="20"/>
              </w:rPr>
              <w:t>1/2 × 8 × (12 - 8) = 16</w:t>
            </w:r>
          </w:p>
        </w:tc>
      </w:tr>
      <w:tr>
        <w:trPr>
          <w:cantSplit/>
        </w:trPr>
        <w:tc>
          <w:tcPr>
            <w:tcW w:type="dxa" w:w="3408"/>
          </w:tcPr>
          <w:p>
            <w:pPr>
              <w:spacing w:line="240" w:lineRule="auto" w:before="0" w:after="20"/>
            </w:pPr>
            <w:r>
              <w:rPr>
                <w:rFonts w:ascii="Arial" w:hAnsi="Arial"/>
                <w:b w:val="0"/>
                <w:i w:val="0"/>
                <w:sz w:val="20"/>
              </w:rPr>
              <w:t>Producer surplus</w:t>
            </w:r>
          </w:p>
        </w:tc>
        <w:tc>
          <w:tcPr>
            <w:tcW w:type="dxa" w:w="3408"/>
          </w:tcPr>
          <w:p>
            <w:pPr>
              <w:spacing w:line="240" w:lineRule="auto" w:before="0" w:after="20"/>
            </w:pPr>
            <w:r>
              <w:rPr>
                <w:rFonts w:ascii="Arial" w:hAnsi="Arial"/>
                <w:b w:val="0"/>
                <w:i w:val="0"/>
                <w:sz w:val="20"/>
              </w:rPr>
              <w:t>1/2 × 12 × (6 - 0) = 36</w:t>
            </w:r>
          </w:p>
        </w:tc>
        <w:tc>
          <w:tcPr>
            <w:tcW w:type="dxa" w:w="3408"/>
          </w:tcPr>
          <w:p>
            <w:pPr>
              <w:spacing w:line="240" w:lineRule="auto" w:before="0" w:after="20"/>
            </w:pPr>
            <w:r>
              <w:rPr>
                <w:rFonts w:ascii="Arial" w:hAnsi="Arial"/>
                <w:b w:val="0"/>
                <w:i w:val="0"/>
                <w:sz w:val="20"/>
              </w:rPr>
              <w:t>1/2 × 8 × (4 - 0) = 16</w:t>
            </w:r>
          </w:p>
        </w:tc>
      </w:tr>
      <w:tr>
        <w:trPr>
          <w:cantSplit/>
        </w:trPr>
        <w:tc>
          <w:tcPr>
            <w:tcW w:type="dxa" w:w="3408"/>
          </w:tcPr>
          <w:p>
            <w:pPr>
              <w:spacing w:line="240" w:lineRule="auto" w:before="0" w:after="20"/>
            </w:pPr>
            <w:r>
              <w:rPr>
                <w:rFonts w:ascii="Arial" w:hAnsi="Arial"/>
                <w:b w:val="0"/>
                <w:i w:val="0"/>
                <w:sz w:val="20"/>
              </w:rPr>
              <w:t>Government revenue</w:t>
            </w:r>
          </w:p>
        </w:tc>
        <w:tc>
          <w:tcPr>
            <w:tcW w:type="dxa" w:w="3408"/>
          </w:tcPr>
          <w:p>
            <w:pPr>
              <w:spacing w:line="240" w:lineRule="auto" w:before="0" w:after="20"/>
            </w:pPr>
            <w:r>
              <w:rPr>
                <w:rFonts w:ascii="Arial" w:hAnsi="Arial"/>
                <w:b w:val="0"/>
                <w:i w:val="0"/>
                <w:sz w:val="20"/>
              </w:rPr>
              <w:t>0</w:t>
            </w:r>
          </w:p>
        </w:tc>
        <w:tc>
          <w:tcPr>
            <w:tcW w:type="dxa" w:w="3408"/>
          </w:tcPr>
          <w:p>
            <w:pPr>
              <w:spacing w:line="240" w:lineRule="auto" w:before="0" w:after="20"/>
            </w:pPr>
            <w:r>
              <w:rPr>
                <w:rFonts w:ascii="Arial" w:hAnsi="Arial"/>
                <w:b w:val="0"/>
                <w:i w:val="0"/>
                <w:sz w:val="20"/>
              </w:rPr>
              <w:t>32</w:t>
            </w:r>
          </w:p>
        </w:tc>
      </w:tr>
      <w:tr>
        <w:trPr>
          <w:cantSplit/>
        </w:trPr>
        <w:tc>
          <w:tcPr>
            <w:tcW w:type="dxa" w:w="3408"/>
          </w:tcPr>
          <w:p>
            <w:pPr>
              <w:spacing w:line="240" w:lineRule="auto" w:before="0" w:after="20"/>
            </w:pPr>
            <w:r>
              <w:rPr>
                <w:rFonts w:ascii="Arial" w:hAnsi="Arial"/>
                <w:b w:val="0"/>
                <w:i w:val="0"/>
                <w:sz w:val="20"/>
              </w:rPr>
              <w:t>Total surplus, including government revenue</w:t>
            </w:r>
          </w:p>
        </w:tc>
        <w:tc>
          <w:tcPr>
            <w:tcW w:type="dxa" w:w="3408"/>
          </w:tcPr>
          <w:p>
            <w:pPr>
              <w:spacing w:line="240" w:lineRule="auto" w:before="0" w:after="20"/>
            </w:pPr>
            <w:r>
              <w:rPr>
                <w:rFonts w:ascii="Arial" w:hAnsi="Arial"/>
                <w:b w:val="0"/>
                <w:i w:val="0"/>
                <w:sz w:val="20"/>
              </w:rPr>
              <w:t>72</w:t>
            </w:r>
          </w:p>
        </w:tc>
        <w:tc>
          <w:tcPr>
            <w:tcW w:type="dxa" w:w="3408"/>
          </w:tcPr>
          <w:p>
            <w:pPr>
              <w:spacing w:line="240" w:lineRule="auto" w:before="0" w:after="20"/>
            </w:pPr>
            <w:r>
              <w:rPr>
                <w:rFonts w:ascii="Arial" w:hAnsi="Arial"/>
                <w:b w:val="0"/>
                <w:i w:val="0"/>
                <w:sz w:val="20"/>
              </w:rPr>
              <w:t>64</w:t>
            </w:r>
          </w:p>
        </w:tc>
      </w:tr>
    </w:tbl>
    <w:p>
      <w:pPr/>
      <w:r>
        <w:rPr>
          <w:b w:val="0"/>
          <w:i w:val="0"/>
        </w:rPr>
        <w:t xml:space="preserve">Total surplus falls by </w:t>
      </w:r>
      <w:r>
        <w:rPr>
          <w:b w:val="0"/>
          <w:i w:val="0"/>
        </w:rPr>
        <w:t>72 - 64 = $8/day</w:t>
      </w:r>
      <w:r>
        <w:rPr>
          <w:b w:val="0"/>
          <w:i w:val="0"/>
        </w:rPr>
        <w:t>, agreeing with the triangle. Consumer and producer surplus each fall by $20: $16 from each side is part of the tax transfer on continuing trades, and $4 from each side is lost surplus on foregone trades. Do not count the transfer twice or confuse it with deadweight loss.</w:t>
      </w:r>
    </w:p>
    <w:p>
      <w:pPr/>
      <w:r>
        <w:rPr>
          <w:b/>
          <w:i w:val="0"/>
        </w:rPr>
        <w:t>Common errors:</w:t>
      </w:r>
      <w:r>
        <w:rPr>
          <w:b w:val="0"/>
          <w:i w:val="0"/>
        </w:rPr>
        <w:t xml:space="preserve"> Using 12 in tax revenue; shading all revenue as deadweight loss; drawing the loss triangle to the left of Qt. Prompts: "Which bottles are actually taxed?" and "Which transactions disappear?"</w:t>
      </w:r>
    </w:p>
    <w:p>
      <w:pPr>
        <w:jc w:val="center"/>
      </w:pPr>
      <w:r>
        <w:drawing>
          <wp:inline xmlns:a="http://schemas.openxmlformats.org/drawingml/2006/main" xmlns:pic="http://schemas.openxmlformats.org/drawingml/2006/picture">
            <wp:extent cx="4978399" cy="3200400"/>
            <wp:docPr id="2" name="Picture 2" descr="Worked welfare graph showing tax revenue and deadweight loss"/>
            <wp:cNvGraphicFramePr>
              <a:graphicFrameLocks noChangeAspect="1"/>
            </wp:cNvGraphicFramePr>
            <a:graphic>
              <a:graphicData uri="http://schemas.openxmlformats.org/drawingml/2006/picture">
                <pic:pic>
                  <pic:nvPicPr>
                    <pic:cNvPr id="0" name="welfare.png"/>
                    <pic:cNvPicPr/>
                  </pic:nvPicPr>
                  <pic:blipFill>
                    <a:blip r:embed="rId10"/>
                    <a:stretch>
                      <a:fillRect/>
                    </a:stretch>
                  </pic:blipFill>
                  <pic:spPr>
                    <a:xfrm>
                      <a:off x="0" y="0"/>
                      <a:ext cx="4978399" cy="3200400"/>
                    </a:xfrm>
                    <a:prstGeom prst="rect"/>
                  </pic:spPr>
                </pic:pic>
              </a:graphicData>
            </a:graphic>
          </wp:inline>
        </w:drawing>
      </w:r>
    </w:p>
    <w:p>
      <w:pPr>
        <w:pStyle w:val="Heading2"/>
      </w:pPr>
      <w:r>
        <w:rPr>
          <w:b w:val="0"/>
          <w:i w:val="0"/>
        </w:rPr>
        <w:t>7. Legal remittance versus economic burden</w:t>
      </w:r>
    </w:p>
    <w:p>
      <w:pPr/>
      <w:r>
        <w:rPr>
          <w:b/>
          <w:i w:val="0"/>
        </w:rPr>
        <w:t>Claim evaluation:</w:t>
      </w:r>
      <w:r>
        <w:rPr>
          <w:b w:val="0"/>
          <w:i w:val="0"/>
        </w:rPr>
        <w:t xml:space="preserve"> The claim is false in this market. Sellers send the $4 tax to government, but buyers pay $8 rather than $6 and sellers retain $4 rather than $6. Buyers bear $2 per bottle and sellers bear $2 per bottle.</w:t>
      </w:r>
    </w:p>
    <w:p>
      <w:pPr/>
      <w:r>
        <w:rPr>
          <w:b/>
          <w:i w:val="0"/>
        </w:rPr>
        <w:t>If buyers remit instead:</w:t>
      </w:r>
      <w:r>
        <w:rPr>
          <w:b w:val="0"/>
          <w:i w:val="0"/>
        </w:rPr>
        <w:t xml:space="preserve"> Under the stipulated competitive model, collecting the same $4 per-bottle tax from buyers would leave economic incidence unchanged. The same wedge must satisfy </w:t>
      </w:r>
      <w:r>
        <w:rPr>
          <w:b w:val="0"/>
          <w:i w:val="0"/>
        </w:rPr>
        <w:t>Pb - Ps = 4</w:t>
      </w:r>
      <w:r>
        <w:rPr>
          <w:b w:val="0"/>
          <w:i w:val="0"/>
        </w:rPr>
        <w:t xml:space="preserve">, together with </w:t>
      </w:r>
      <w:r>
        <w:rPr>
          <w:b w:val="0"/>
          <w:i w:val="0"/>
        </w:rPr>
        <w:t>Pb = 12 - Q/2</w:t>
      </w:r>
      <w:r>
        <w:rPr>
          <w:b w:val="0"/>
          <w:i w:val="0"/>
        </w:rPr>
        <w:t xml:space="preserve"> and </w:t>
      </w:r>
      <w:r>
        <w:rPr>
          <w:b w:val="0"/>
          <w:i w:val="0"/>
        </w:rPr>
        <w:t>Ps = Q/2</w:t>
      </w:r>
      <w:r>
        <w:rPr>
          <w:b w:val="0"/>
          <w:i w:val="0"/>
        </w:rPr>
        <w:t>. This again gives Q = 8, Pb = 8 and Ps = 4.</w:t>
      </w:r>
    </w:p>
    <w:p>
      <w:pPr/>
      <w:r>
        <w:rPr>
          <w:b w:val="0"/>
          <w:i w:val="0"/>
        </w:rPr>
        <w:t xml:space="preserve">For a seller-price graph, demand net of the buyer-paid tax would be </w:t>
      </w:r>
      <w:r>
        <w:rPr>
          <w:b w:val="0"/>
          <w:i w:val="0"/>
        </w:rPr>
        <w:t>Ps = 8 - Q/2</w:t>
      </w:r>
      <w:r>
        <w:rPr>
          <w:b w:val="0"/>
          <w:i w:val="0"/>
        </w:rPr>
        <w:t xml:space="preserve">; it intersects original S at </w:t>
      </w:r>
      <w:r>
        <w:rPr>
          <w:b w:val="0"/>
          <w:i w:val="0"/>
        </w:rPr>
        <w:t>(8,4)</w:t>
      </w:r>
      <w:r>
        <w:rPr>
          <w:b w:val="0"/>
          <w:i w:val="0"/>
        </w:rPr>
        <w:t>. Buyers then pay the $4 tax in addition to the seller's $4 receipt, for a total $8 per bottle. This is an optional algebraic verification, not a required extra graph.</w:t>
      </w:r>
    </w:p>
    <w:p>
      <w:pPr/>
      <w:r>
        <w:rPr>
          <w:b/>
          <w:i w:val="0"/>
        </w:rPr>
        <w:t>Acceptable response:</w:t>
      </w:r>
      <w:r>
        <w:rPr>
          <w:b w:val="0"/>
          <w:i w:val="0"/>
        </w:rPr>
        <w:t xml:space="preserve"> A clear verbal explanation of the same $4 wedge and the same underlying demand and supply is sufficient. Students need not write all equations.</w:t>
      </w:r>
    </w:p>
    <w:p>
      <w:pPr/>
      <w:r>
        <w:rPr>
          <w:b/>
          <w:i w:val="0"/>
        </w:rPr>
        <w:t>Limit:</w:t>
      </w:r>
      <w:r>
        <w:rPr>
          <w:b w:val="0"/>
          <w:i w:val="0"/>
        </w:rPr>
        <w:t xml:space="preserve"> This invariance result relies on the exercise's unchanged curves and fully collected tax with no avoidance or other policy change. Do not extend it to claims that actual administrative rules never matter.</w:t>
      </w:r>
    </w:p>
    <w:p>
      <w:pPr>
        <w:pStyle w:val="Heading2"/>
      </w:pPr>
      <w:r>
        <w:rPr>
          <w:b w:val="0"/>
          <w:i w:val="0"/>
        </w:rPr>
        <w:t>8. Different relative elasticities</w:t>
      </w:r>
    </w:p>
    <w:p>
      <w:pPr/>
      <w:r>
        <w:rPr>
          <w:b w:val="0"/>
          <w:i w:val="0"/>
        </w:rPr>
        <w:t xml:space="preserve">In the other market, </w:t>
      </w:r>
      <w:r>
        <w:rPr>
          <w:b/>
          <w:i w:val="0"/>
        </w:rPr>
        <w:t>buyers tend to bear the larger per-unit share</w:t>
      </w:r>
      <w:r>
        <w:rPr>
          <w:b w:val="0"/>
          <w:i w:val="0"/>
        </w:rPr>
        <w:t xml:space="preserve"> when demand is less price-responsive in percentage terms than supply at the relevant equilibrium. Buyers change quantity relatively little in response to a price change; sellers are relatively better able to change quantity. More of the wedge is reflected in a higher buyer price.</w:t>
      </w:r>
    </w:p>
    <w:p>
      <w:pPr/>
      <w:r>
        <w:rPr>
          <w:b/>
          <w:i w:val="0"/>
        </w:rPr>
        <w:t>Acceptable wording:</w:t>
      </w:r>
      <w:r>
        <w:rPr>
          <w:b w:val="0"/>
          <w:i w:val="0"/>
        </w:rPr>
        <w:t xml:space="preserve"> "Demand is relatively more inelastic than supply, so buyers bear more of the tax." Add a reason about relative responsiveness for the full diagnostic point. Do not infer a particular dollar or percentage share without that market's data.</w:t>
      </w:r>
    </w:p>
    <w:p>
      <w:pPr/>
      <w:r>
        <w:rPr>
          <w:b/>
          <w:i w:val="0"/>
        </w:rPr>
        <w:t>Percentage-response note:</w:t>
      </w:r>
      <w:r>
        <w:rPr>
          <w:b w:val="0"/>
          <w:i w:val="0"/>
        </w:rPr>
        <w:t xml:space="preserve"> Price elasticity compares a percentage quantity change with a percentage price change. A raw slope depends on axis units and does not by itself provide a universal elasticity measure. On a linear demand curve, slope is constant while elasticity changes along the curve. The equal $2 burdens in this bottle example are derived from its original data; they are not a rule for all taxes.</w:t>
      </w:r>
    </w:p>
    <w:p>
      <w:pPr/>
      <w:r>
        <w:rPr>
          <w:b/>
          <w:i w:val="0"/>
        </w:rPr>
        <w:t>Common error:</w:t>
      </w:r>
      <w:r>
        <w:rPr>
          <w:b w:val="0"/>
          <w:i w:val="0"/>
        </w:rPr>
        <w:t xml:space="preserve"> Saying "the steeper line always bears more" without considering units, the point measured and percentage responsiveness. Prompt: "Are you comparing raw units or percentage changes?"</w:t>
      </w:r>
    </w:p>
    <w:p>
      <w:pPr>
        <w:pStyle w:val="Heading2"/>
      </w:pPr>
      <w:r>
        <w:rPr>
          <w:b w:val="0"/>
          <w:i w:val="0"/>
        </w:rPr>
        <w:t>9. Exit multiple choice: quantity</w:t>
      </w:r>
    </w:p>
    <w:p>
      <w:pPr/>
      <w:r>
        <w:rPr>
          <w:b/>
          <w:i w:val="0"/>
        </w:rPr>
        <w:t>B. 8 bottles/day.</w:t>
      </w:r>
      <w:r>
        <w:rPr>
          <w:b w:val="0"/>
          <w:i w:val="0"/>
        </w:rPr>
        <w:t xml:space="preserve"> Demand and taxed supply meet at Q = 8. A uses the tax amount as quantity; C keeps the old untaxed quantity; D uses a price/table value instead of the new quantity.</w:t>
      </w:r>
    </w:p>
    <w:p>
      <w:pPr>
        <w:pStyle w:val="Heading2"/>
      </w:pPr>
      <w:r>
        <w:rPr>
          <w:b w:val="0"/>
          <w:i w:val="0"/>
        </w:rPr>
        <w:t>10. Exit multiple choice: seller receipt</w:t>
      </w:r>
    </w:p>
    <w:p>
      <w:pPr/>
      <w:r>
        <w:rPr>
          <w:b/>
          <w:i w:val="0"/>
        </w:rPr>
        <w:t>D. $4/bottle.</w:t>
      </w:r>
      <w:r>
        <w:rPr>
          <w:b w:val="0"/>
          <w:i w:val="0"/>
        </w:rPr>
        <w:t xml:space="preserve"> Sellers receive $8 from buyers, remit $4 and retain $4. A is the buyer price; B is the old price; C would incorrectly leave sellers with no receipt.</w:t>
      </w:r>
    </w:p>
    <w:p>
      <w:pPr>
        <w:pStyle w:val="Heading2"/>
      </w:pPr>
      <w:r>
        <w:rPr>
          <w:b w:val="0"/>
          <w:i w:val="0"/>
        </w:rPr>
        <w:t>11. Exit multiple choice: government revenue</w:t>
      </w:r>
    </w:p>
    <w:p>
      <w:pPr/>
      <w:r>
        <w:rPr>
          <w:b/>
          <w:i w:val="0"/>
        </w:rPr>
        <w:t>A. $32/day.</w:t>
      </w:r>
      <w:r>
        <w:rPr>
          <w:b w:val="0"/>
          <w:i w:val="0"/>
        </w:rPr>
        <w:t xml:space="preserve"> The $4 tax applies to the 8 bottles still traded: </w:t>
      </w:r>
      <w:r>
        <w:rPr>
          <w:b w:val="0"/>
          <w:i w:val="0"/>
        </w:rPr>
        <w:t>4 × 8 = 32</w:t>
      </w:r>
      <w:r>
        <w:rPr>
          <w:b w:val="0"/>
          <w:i w:val="0"/>
        </w:rPr>
        <w:t xml:space="preserve">. B uses the old 12-bottle quantity. C is buyers' total spending, </w:t>
      </w:r>
      <w:r>
        <w:rPr>
          <w:b w:val="0"/>
          <w:i w:val="0"/>
        </w:rPr>
        <w:t>8 × 8</w:t>
      </w:r>
      <w:r>
        <w:rPr>
          <w:b w:val="0"/>
          <w:i w:val="0"/>
        </w:rPr>
        <w:t>. D multiplies the tax by the table's 24-bottle demand intercept.</w:t>
      </w:r>
    </w:p>
    <w:p>
      <w:pPr>
        <w:pStyle w:val="Heading2"/>
      </w:pPr>
      <w:r>
        <w:rPr>
          <w:b w:val="0"/>
          <w:i w:val="0"/>
        </w:rPr>
        <w:t>12. Exit multiple choice: larger buyer burden</w:t>
      </w:r>
    </w:p>
    <w:p>
      <w:pPr/>
      <w:r>
        <w:rPr>
          <w:b/>
          <w:i w:val="0"/>
        </w:rPr>
        <w:t>C. Demand more inelastic than supply.</w:t>
      </w:r>
      <w:r>
        <w:rPr>
          <w:b w:val="0"/>
          <w:i w:val="0"/>
        </w:rPr>
        <w:t xml:space="preserve"> Relative percentage responsiveness determines the usual incidence pattern. A reverses the relationship. With perfectly elastic demand in B, buyers can avoid a price increase, so the burden falls on sellers in the standard competitive model. D confuses who remits the tax with who bears it.</w:t>
      </w:r>
    </w:p>
    <w:p>
      <w:pPr>
        <w:pStyle w:val="Heading2"/>
      </w:pPr>
      <w:r>
        <w:rPr>
          <w:b w:val="0"/>
          <w:i w:val="0"/>
        </w:rPr>
        <w:t>Original diagnostic rubric</w:t>
      </w:r>
    </w:p>
    <w:p>
      <w:pPr/>
      <w:r>
        <w:rPr>
          <w:b w:val="0"/>
          <w:i w:val="0"/>
        </w:rPr>
        <w:t xml:space="preserve">This optional </w:t>
      </w:r>
      <w:r>
        <w:rPr>
          <w:b/>
          <w:i w:val="0"/>
        </w:rPr>
        <w:t>20-point original practice rubric is not an official AP or College Board scoring guide</w:t>
      </w:r>
      <w:r>
        <w:rPr>
          <w:b w:val="0"/>
          <w:i w:val="0"/>
        </w:rPr>
        <w:t>. Task 1 is ungraded. Credit sound reasoning and correctly labeled units; use the error notes to plan feedback.</w:t>
      </w:r>
    </w:p>
    <w:tbl>
      <w:tblPr>
        <w:tblStyle w:val="TableGrid"/>
        <w:tblW w:type="dxa" w:w="10224"/>
        <w:jc w:val="left"/>
        <w:tblLayout w:type="fixed"/>
        <w:tblLook w:firstColumn="1" w:firstRow="1" w:lastColumn="0" w:lastRow="0" w:noHBand="0" w:noVBand="1" w:val="04A0"/>
        <w:tblInd w:type="dxa" w:w="0"/>
        <w:tblBorders>
          <w:top w:val="single" w:sz="4" w:color="94A0AF"/>
          <w:left w:val="single" w:sz="4" w:color="94A0AF"/>
          <w:bottom w:val="single" w:sz="4" w:color="94A0AF"/>
          <w:right w:val="single" w:sz="4" w:color="94A0AF"/>
          <w:insideH w:val="single" w:sz="4" w:color="94A0AF"/>
          <w:insideV w:val="single" w:sz="4" w:color="94A0AF"/>
        </w:tblBorders>
      </w:tblPr>
      <w:tblGrid>
        <w:gridCol w:w="3408"/>
        <w:gridCol w:w="3408"/>
        <w:gridCol w:w="3408"/>
      </w:tblGrid>
      <w:tr>
        <w:trPr>
          <w:tblHeader w:val="true"/>
          <w:cantSplit/>
        </w:trPr>
        <w:tc>
          <w:tcPr>
            <w:tcW w:type="dxa" w:w="3408"/>
          </w:tcPr>
          <w:p>
            <w:pPr>
              <w:spacing w:line="240" w:lineRule="auto" w:before="0" w:after="20"/>
            </w:pPr>
            <w:r>
              <w:rPr>
                <w:rFonts w:ascii="Arial" w:hAnsi="Arial"/>
                <w:b/>
                <w:i w:val="0"/>
                <w:sz w:val="20"/>
              </w:rPr>
              <w:t>Task</w:t>
            </w:r>
          </w:p>
        </w:tc>
        <w:tc>
          <w:tcPr>
            <w:tcW w:type="dxa" w:w="3408"/>
          </w:tcPr>
          <w:p>
            <w:pPr>
              <w:spacing w:line="240" w:lineRule="auto" w:before="0" w:after="20"/>
            </w:pPr>
            <w:r>
              <w:rPr>
                <w:rFonts w:ascii="Arial" w:hAnsi="Arial"/>
                <w:b/>
                <w:i w:val="0"/>
                <w:sz w:val="20"/>
              </w:rPr>
              <w:t>Points</w:t>
            </w:r>
          </w:p>
        </w:tc>
        <w:tc>
          <w:tcPr>
            <w:tcW w:type="dxa" w:w="3408"/>
          </w:tcPr>
          <w:p>
            <w:pPr>
              <w:spacing w:line="240" w:lineRule="auto" w:before="0" w:after="20"/>
            </w:pPr>
            <w:r>
              <w:rPr>
                <w:rFonts w:ascii="Arial" w:hAnsi="Arial"/>
                <w:b/>
                <w:i w:val="0"/>
                <w:sz w:val="20"/>
              </w:rPr>
              <w:t>Evidence to check</w:t>
            </w:r>
          </w:p>
        </w:tc>
      </w:tr>
      <w:tr>
        <w:trPr>
          <w:cantSplit/>
        </w:trPr>
        <w:tc>
          <w:tcPr>
            <w:tcW w:type="dxa" w:w="3408"/>
          </w:tcPr>
          <w:p>
            <w:pPr>
              <w:spacing w:line="240" w:lineRule="auto" w:before="0" w:after="20"/>
            </w:pPr>
            <w:r>
              <w:rPr>
                <w:rFonts w:ascii="Arial" w:hAnsi="Arial"/>
                <w:b w:val="0"/>
                <w:i w:val="0"/>
                <w:sz w:val="20"/>
              </w:rPr>
              <w:t>2</w:t>
            </w:r>
          </w:p>
        </w:tc>
        <w:tc>
          <w:tcPr>
            <w:tcW w:type="dxa" w:w="3408"/>
          </w:tcPr>
          <w:p>
            <w:pPr>
              <w:spacing w:line="240" w:lineRule="auto" w:before="0" w:after="20"/>
            </w:pPr>
            <w:r>
              <w:rPr>
                <w:rFonts w:ascii="Arial" w:hAnsi="Arial"/>
                <w:b w:val="0"/>
                <w:i w:val="0"/>
                <w:sz w:val="20"/>
              </w:rPr>
              <w:t>3</w:t>
            </w:r>
          </w:p>
        </w:tc>
        <w:tc>
          <w:tcPr>
            <w:tcW w:type="dxa" w:w="3408"/>
          </w:tcPr>
          <w:p>
            <w:pPr>
              <w:spacing w:line="240" w:lineRule="auto" w:before="0" w:after="20"/>
            </w:pPr>
            <w:r>
              <w:rPr>
                <w:rFonts w:ascii="Arial" w:hAnsi="Arial"/>
                <w:b w:val="0"/>
                <w:i w:val="0"/>
                <w:sz w:val="20"/>
              </w:rPr>
              <w:t>Correct axes/units; D and S; E0, Q0 and P0</w:t>
            </w:r>
          </w:p>
        </w:tc>
      </w:tr>
      <w:tr>
        <w:trPr>
          <w:cantSplit/>
        </w:trPr>
        <w:tc>
          <w:tcPr>
            <w:tcW w:type="dxa" w:w="3408"/>
          </w:tcPr>
          <w:p>
            <w:pPr>
              <w:spacing w:line="240" w:lineRule="auto" w:before="0" w:after="20"/>
            </w:pPr>
            <w:r>
              <w:rPr>
                <w:rFonts w:ascii="Arial" w:hAnsi="Arial"/>
                <w:b w:val="0"/>
                <w:i w:val="0"/>
                <w:sz w:val="20"/>
              </w:rPr>
              <w:t>3</w:t>
            </w:r>
          </w:p>
        </w:tc>
        <w:tc>
          <w:tcPr>
            <w:tcW w:type="dxa" w:w="3408"/>
          </w:tcPr>
          <w:p>
            <w:pPr>
              <w:spacing w:line="240" w:lineRule="auto" w:before="0" w:after="20"/>
            </w:pPr>
            <w:r>
              <w:rPr>
                <w:rFonts w:ascii="Arial" w:hAnsi="Arial"/>
                <w:b w:val="0"/>
                <w:i w:val="0"/>
                <w:sz w:val="20"/>
              </w:rPr>
              <w:t>1</w:t>
            </w:r>
          </w:p>
        </w:tc>
        <w:tc>
          <w:tcPr>
            <w:tcW w:type="dxa" w:w="3408"/>
          </w:tcPr>
          <w:p>
            <w:pPr>
              <w:spacing w:line="240" w:lineRule="auto" w:before="0" w:after="20"/>
            </w:pPr>
            <w:r>
              <w:rPr>
                <w:rFonts w:ascii="Arial" w:hAnsi="Arial"/>
                <w:b w:val="0"/>
                <w:i w:val="0"/>
                <w:sz w:val="20"/>
              </w:rPr>
              <w:t>All seven taxed asking prices, each original S price + $4</w:t>
            </w:r>
          </w:p>
        </w:tc>
      </w:tr>
      <w:tr>
        <w:trPr>
          <w:cantSplit/>
        </w:trPr>
        <w:tc>
          <w:tcPr>
            <w:tcW w:type="dxa" w:w="3408"/>
          </w:tcPr>
          <w:p>
            <w:pPr>
              <w:spacing w:line="240" w:lineRule="auto" w:before="0" w:after="20"/>
            </w:pPr>
            <w:r>
              <w:rPr>
                <w:rFonts w:ascii="Arial" w:hAnsi="Arial"/>
                <w:b w:val="0"/>
                <w:i w:val="0"/>
                <w:sz w:val="20"/>
              </w:rPr>
              <w:t>4</w:t>
            </w:r>
          </w:p>
        </w:tc>
        <w:tc>
          <w:tcPr>
            <w:tcW w:type="dxa" w:w="3408"/>
          </w:tcPr>
          <w:p>
            <w:pPr>
              <w:spacing w:line="240" w:lineRule="auto" w:before="0" w:after="20"/>
            </w:pPr>
            <w:r>
              <w:rPr>
                <w:rFonts w:ascii="Arial" w:hAnsi="Arial"/>
                <w:b w:val="0"/>
                <w:i w:val="0"/>
                <w:sz w:val="20"/>
              </w:rPr>
              <w:t>3</w:t>
            </w:r>
          </w:p>
        </w:tc>
        <w:tc>
          <w:tcPr>
            <w:tcW w:type="dxa" w:w="3408"/>
          </w:tcPr>
          <w:p>
            <w:pPr>
              <w:spacing w:line="240" w:lineRule="auto" w:before="0" w:after="20"/>
            </w:pPr>
            <w:r>
              <w:rPr>
                <w:rFonts w:ascii="Arial" w:hAnsi="Arial"/>
                <w:b w:val="0"/>
                <w:i w:val="0"/>
                <w:sz w:val="20"/>
              </w:rPr>
              <w:t>Correct S + tax; Qt/Pb; Ps and vertical wedge at the same Qt</w:t>
            </w:r>
          </w:p>
        </w:tc>
      </w:tr>
      <w:tr>
        <w:trPr>
          <w:cantSplit/>
        </w:trPr>
        <w:tc>
          <w:tcPr>
            <w:tcW w:type="dxa" w:w="3408"/>
          </w:tcPr>
          <w:p>
            <w:pPr>
              <w:spacing w:line="240" w:lineRule="auto" w:before="0" w:after="20"/>
            </w:pPr>
            <w:r>
              <w:rPr>
                <w:rFonts w:ascii="Arial" w:hAnsi="Arial"/>
                <w:b w:val="0"/>
                <w:i w:val="0"/>
                <w:sz w:val="20"/>
              </w:rPr>
              <w:t>5</w:t>
            </w:r>
          </w:p>
        </w:tc>
        <w:tc>
          <w:tcPr>
            <w:tcW w:type="dxa" w:w="3408"/>
          </w:tcPr>
          <w:p>
            <w:pPr>
              <w:spacing w:line="240" w:lineRule="auto" w:before="0" w:after="20"/>
            </w:pPr>
            <w:r>
              <w:rPr>
                <w:rFonts w:ascii="Arial" w:hAnsi="Arial"/>
                <w:b w:val="0"/>
                <w:i w:val="0"/>
                <w:sz w:val="20"/>
              </w:rPr>
              <w:t>3</w:t>
            </w:r>
          </w:p>
        </w:tc>
        <w:tc>
          <w:tcPr>
            <w:tcW w:type="dxa" w:w="3408"/>
          </w:tcPr>
          <w:p>
            <w:pPr>
              <w:spacing w:line="240" w:lineRule="auto" w:before="0" w:after="20"/>
            </w:pPr>
            <w:r>
              <w:rPr>
                <w:rFonts w:ascii="Arial" w:hAnsi="Arial"/>
                <w:b w:val="0"/>
                <w:i w:val="0"/>
                <w:sz w:val="20"/>
              </w:rPr>
              <w:t>Correct before/after accounting; both burdens and totals; percentage shares</w:t>
            </w:r>
          </w:p>
        </w:tc>
      </w:tr>
      <w:tr>
        <w:trPr>
          <w:cantSplit/>
        </w:trPr>
        <w:tc>
          <w:tcPr>
            <w:tcW w:type="dxa" w:w="3408"/>
          </w:tcPr>
          <w:p>
            <w:pPr>
              <w:spacing w:line="240" w:lineRule="auto" w:before="0" w:after="20"/>
            </w:pPr>
            <w:r>
              <w:rPr>
                <w:rFonts w:ascii="Arial" w:hAnsi="Arial"/>
                <w:b w:val="0"/>
                <w:i w:val="0"/>
                <w:sz w:val="20"/>
              </w:rPr>
              <w:t>6</w:t>
            </w:r>
          </w:p>
        </w:tc>
        <w:tc>
          <w:tcPr>
            <w:tcW w:type="dxa" w:w="3408"/>
          </w:tcPr>
          <w:p>
            <w:pPr>
              <w:spacing w:line="240" w:lineRule="auto" w:before="0" w:after="20"/>
            </w:pPr>
            <w:r>
              <w:rPr>
                <w:rFonts w:ascii="Arial" w:hAnsi="Arial"/>
                <w:b w:val="0"/>
                <w:i w:val="0"/>
                <w:sz w:val="20"/>
              </w:rPr>
              <w:t>3</w:t>
            </w:r>
          </w:p>
        </w:tc>
        <w:tc>
          <w:tcPr>
            <w:tcW w:type="dxa" w:w="3408"/>
          </w:tcPr>
          <w:p>
            <w:pPr>
              <w:spacing w:line="240" w:lineRule="auto" w:before="0" w:after="20"/>
            </w:pPr>
            <w:r>
              <w:rPr>
                <w:rFonts w:ascii="Arial" w:hAnsi="Arial"/>
                <w:b w:val="0"/>
                <w:i w:val="0"/>
                <w:sz w:val="20"/>
              </w:rPr>
              <w:t>Revenue region/calculation; DWL region/calculation; four fewer bottles and lost-gains explanation</w:t>
            </w:r>
          </w:p>
        </w:tc>
      </w:tr>
      <w:tr>
        <w:trPr>
          <w:cantSplit/>
        </w:trPr>
        <w:tc>
          <w:tcPr>
            <w:tcW w:type="dxa" w:w="3408"/>
          </w:tcPr>
          <w:p>
            <w:pPr>
              <w:spacing w:line="240" w:lineRule="auto" w:before="0" w:after="20"/>
            </w:pPr>
            <w:r>
              <w:rPr>
                <w:rFonts w:ascii="Arial" w:hAnsi="Arial"/>
                <w:b w:val="0"/>
                <w:i w:val="0"/>
                <w:sz w:val="20"/>
              </w:rPr>
              <w:t>7</w:t>
            </w:r>
          </w:p>
        </w:tc>
        <w:tc>
          <w:tcPr>
            <w:tcW w:type="dxa" w:w="3408"/>
          </w:tcPr>
          <w:p>
            <w:pPr>
              <w:spacing w:line="240" w:lineRule="auto" w:before="0" w:after="20"/>
            </w:pPr>
            <w:r>
              <w:rPr>
                <w:rFonts w:ascii="Arial" w:hAnsi="Arial"/>
                <w:b w:val="0"/>
                <w:i w:val="0"/>
                <w:sz w:val="20"/>
              </w:rPr>
              <w:t>2</w:t>
            </w:r>
          </w:p>
        </w:tc>
        <w:tc>
          <w:tcPr>
            <w:tcW w:type="dxa" w:w="3408"/>
          </w:tcPr>
          <w:p>
            <w:pPr>
              <w:spacing w:line="240" w:lineRule="auto" w:before="0" w:after="20"/>
            </w:pPr>
            <w:r>
              <w:rPr>
                <w:rFonts w:ascii="Arial" w:hAnsi="Arial"/>
                <w:b w:val="0"/>
                <w:i w:val="0"/>
                <w:sz w:val="20"/>
              </w:rPr>
              <w:t>Price-based claim repair; remitter invariance under stated assumptions</w:t>
            </w:r>
          </w:p>
        </w:tc>
      </w:tr>
      <w:tr>
        <w:trPr>
          <w:cantSplit/>
        </w:trPr>
        <w:tc>
          <w:tcPr>
            <w:tcW w:type="dxa" w:w="3408"/>
          </w:tcPr>
          <w:p>
            <w:pPr>
              <w:spacing w:line="240" w:lineRule="auto" w:before="0" w:after="20"/>
            </w:pPr>
            <w:r>
              <w:rPr>
                <w:rFonts w:ascii="Arial" w:hAnsi="Arial"/>
                <w:b w:val="0"/>
                <w:i w:val="0"/>
                <w:sz w:val="20"/>
              </w:rPr>
              <w:t>8</w:t>
            </w:r>
          </w:p>
        </w:tc>
        <w:tc>
          <w:tcPr>
            <w:tcW w:type="dxa" w:w="3408"/>
          </w:tcPr>
          <w:p>
            <w:pPr>
              <w:spacing w:line="240" w:lineRule="auto" w:before="0" w:after="20"/>
            </w:pPr>
            <w:r>
              <w:rPr>
                <w:rFonts w:ascii="Arial" w:hAnsi="Arial"/>
                <w:b w:val="0"/>
                <w:i w:val="0"/>
                <w:sz w:val="20"/>
              </w:rPr>
              <w:t>1</w:t>
            </w:r>
          </w:p>
        </w:tc>
        <w:tc>
          <w:tcPr>
            <w:tcW w:type="dxa" w:w="3408"/>
          </w:tcPr>
          <w:p>
            <w:pPr>
              <w:spacing w:line="240" w:lineRule="auto" w:before="0" w:after="20"/>
            </w:pPr>
            <w:r>
              <w:rPr>
                <w:rFonts w:ascii="Arial" w:hAnsi="Arial"/>
                <w:b w:val="0"/>
                <w:i w:val="0"/>
                <w:sz w:val="20"/>
              </w:rPr>
              <w:t>Buyers bear more, with relative percentage-responsiveness explanation</w:t>
            </w:r>
          </w:p>
        </w:tc>
      </w:tr>
      <w:tr>
        <w:trPr>
          <w:cantSplit/>
        </w:trPr>
        <w:tc>
          <w:tcPr>
            <w:tcW w:type="dxa" w:w="3408"/>
          </w:tcPr>
          <w:p>
            <w:pPr>
              <w:spacing w:line="240" w:lineRule="auto" w:before="0" w:after="20"/>
            </w:pPr>
            <w:r>
              <w:rPr>
                <w:rFonts w:ascii="Arial" w:hAnsi="Arial"/>
                <w:b w:val="0"/>
                <w:i w:val="0"/>
                <w:sz w:val="20"/>
              </w:rPr>
              <w:t>9-12</w:t>
            </w:r>
          </w:p>
        </w:tc>
        <w:tc>
          <w:tcPr>
            <w:tcW w:type="dxa" w:w="3408"/>
          </w:tcPr>
          <w:p>
            <w:pPr>
              <w:spacing w:line="240" w:lineRule="auto" w:before="0" w:after="20"/>
            </w:pPr>
            <w:r>
              <w:rPr>
                <w:rFonts w:ascii="Arial" w:hAnsi="Arial"/>
                <w:b w:val="0"/>
                <w:i w:val="0"/>
                <w:sz w:val="20"/>
              </w:rPr>
              <w:t>4</w:t>
            </w:r>
          </w:p>
        </w:tc>
        <w:tc>
          <w:tcPr>
            <w:tcW w:type="dxa" w:w="3408"/>
          </w:tcPr>
          <w:p>
            <w:pPr>
              <w:spacing w:line="240" w:lineRule="auto" w:before="0" w:after="20"/>
            </w:pPr>
            <w:r>
              <w:rPr>
                <w:rFonts w:ascii="Arial" w:hAnsi="Arial"/>
                <w:b w:val="0"/>
                <w:i w:val="0"/>
                <w:sz w:val="20"/>
              </w:rPr>
              <w:t>One point per correct exit choice</w:t>
            </w:r>
          </w:p>
        </w:tc>
      </w:tr>
      <w:tr>
        <w:trPr>
          <w:cantSplit/>
        </w:trPr>
        <w:tc>
          <w:tcPr>
            <w:tcW w:type="dxa" w:w="3408"/>
          </w:tcPr>
          <w:p>
            <w:pPr>
              <w:spacing w:line="240" w:lineRule="auto" w:before="0" w:after="20"/>
            </w:pPr>
            <w:r>
              <w:rPr>
                <w:rFonts w:ascii="Arial" w:hAnsi="Arial"/>
                <w:b w:val="0"/>
                <w:i w:val="0"/>
                <w:sz w:val="20"/>
              </w:rPr>
              <w:t>Total</w:t>
            </w:r>
          </w:p>
        </w:tc>
        <w:tc>
          <w:tcPr>
            <w:tcW w:type="dxa" w:w="3408"/>
          </w:tcPr>
          <w:p>
            <w:pPr>
              <w:spacing w:line="240" w:lineRule="auto" w:before="0" w:after="20"/>
            </w:pPr>
            <w:r>
              <w:rPr>
                <w:rFonts w:ascii="Arial" w:hAnsi="Arial"/>
                <w:b w:val="0"/>
                <w:i w:val="0"/>
                <w:sz w:val="20"/>
              </w:rPr>
              <w:t>20</w:t>
            </w:r>
          </w:p>
        </w:tc>
        <w:tc>
          <w:tcPr>
            <w:tcW w:type="dxa" w:w="3408"/>
          </w:tcPr>
          <w:p>
            <w:pPr>
              <w:spacing w:line="240" w:lineRule="auto" w:before="0" w:after="20"/>
            </w:pPr>
            <w:r>
              <w:rPr>
                <w:rFonts w:ascii="Arial" w:hAnsi="Arial"/>
                <w:b w:val="0"/>
                <w:i w:val="0"/>
                <w:sz w:val="20"/>
              </w:rPr>
              <w:t>Task 1 remains ungraded</w:t>
            </w:r>
          </w:p>
        </w:tc>
      </w:tr>
    </w:tbl>
    <w:p>
      <w:pPr/>
      <w:r>
        <w:rPr>
          <w:b w:val="0"/>
          <w:i w:val="0"/>
        </w:rPr>
        <w:t>Diagnose propagated mistakes separately from unsupported claims. A wrong taxed quantity needs correction even if later arithmetic is internally consistent. A correct number with the wrong price label does not demonstrate the buyer/seller distinction.</w:t>
      </w:r>
    </w:p>
    <w:p>
      <w:pPr>
        <w:pStyle w:val="Heading2"/>
      </w:pPr>
      <w:r>
        <w:rPr>
          <w:b w:val="0"/>
          <w:i w:val="0"/>
        </w:rPr>
        <w:t>Instructor pacing and references</w:t>
      </w:r>
    </w:p>
    <w:p>
      <w:pPr/>
      <w:r>
        <w:rPr>
          <w:b w:val="0"/>
          <w:i w:val="0"/>
        </w:rPr>
        <w:t>Target duration is 40 minutes, not a tested completion-time promise. Follow the separate lesson plan's final pacing table. Required work is tasks 1-12; optional algebra and surplus checks here are teacher support, not added timed tasks.</w:t>
      </w:r>
    </w:p>
    <w:p>
      <w:pPr/>
      <w:r>
        <w:rPr>
          <w:b w:val="0"/>
          <w:i w:val="0"/>
        </w:rPr>
        <w:t>Focused framework alignment: current AP Microeconomics Course and Exam Description, Effective Fall 2026, version 1, Topic 2.8, printed page 55 / PDF page 62 (one-based), POL-1.A and essential knowledge POL-1.A.2 through POL-1.A.6; graph skill 4.C. These are original practice prompts, not official exam items or an endorsement.</w:t>
      </w:r>
    </w:p>
    <w:p>
      <w:pPr/>
      <w:r>
        <w:rPr>
          <w:b w:val="0"/>
          <w:i w:val="0"/>
        </w:rPr>
        <w:t xml:space="preserve">Concept checks use the </w:t>
      </w:r>
      <w:hyperlink r:id="rId11">
        <w:r>
          <w:rPr>
            <w:color w:val="0E2148"/>
            <w:u w:val="single"/>
          </w:rPr>
          <w:t>official AP Microeconomics framework</w:t>
        </w:r>
      </w:hyperlink>
      <w:r>
        <w:rPr>
          <w:b w:val="0"/>
          <w:i w:val="0"/>
        </w:rPr>
        <w:t xml:space="preserve"> and </w:t>
      </w:r>
      <w:hyperlink r:id="rId12">
        <w:r>
          <w:rPr>
            <w:color w:val="0E2148"/>
            <w:u w:val="single"/>
          </w:rPr>
          <w:t>OpenStax, Principles of Economics 3e, section 5.3</w:t>
        </w:r>
      </w:hyperlink>
      <w:r>
        <w:rPr>
          <w:b w:val="0"/>
          <w:i w:val="0"/>
        </w:rPr>
        <w:t>. No source wording, examples or diagrams were copied. Source verification is recorded separately in the private factual-verification evidence.</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before="0" w:after="60"/>
    </w:pPr>
    <w:rPr>
      <w:rFonts w:ascii="Arial" w:hAnsi="Arial"/>
      <w:color w:val="172033"/>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0E2148"/>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0E2148"/>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E214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0E214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line="259" w:lineRule="auto" w:before="0"/>
    </w:pPr>
    <w:rPr>
      <w:rFonts w:ascii="Arial" w:hAnsi="Arial"/>
      <w:color w:val="172033"/>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hyperlink" Target="https://apcentral.collegeboard.org/media/pdf/ap-microeconomics-course-and-exam-description.pdf" TargetMode="External"/><Relationship Id="rId12" Type="http://schemas.openxmlformats.org/officeDocument/2006/relationships/hyperlink" Target="https://openstax.org/books/principles-economics-3e/pages/5-3-elasticity-and-pric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Macs' Learning Co.</dc:creator>
  <cp:keywords/>
  <dc:description>generated by python-docx</dc:description>
  <cp:lastModifiedBy/>
  <cp:revision>1</cp:revision>
  <dcterms:created xsi:type="dcterms:W3CDTF">2013-12-23T23:15:00Z</dcterms:created>
  <dcterms:modified xsi:type="dcterms:W3CDTF">2013-12-23T23:15:00Z</dcterms:modified>
  <cp:category/>
</cp:coreProperties>
</file>